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30" w:rsidRDefault="00D03DB6" w:rsidP="00073F88">
      <w:pPr>
        <w:spacing w:after="240"/>
        <w:ind w:left="-806"/>
        <w:rPr>
          <w:rFonts w:ascii="Arial" w:hAnsi="Arial" w:cs="Arial"/>
          <w:b/>
          <w:color w:val="4472C4" w:themeColor="accent5"/>
          <w:sz w:val="48"/>
          <w:szCs w:val="48"/>
        </w:rPr>
      </w:pPr>
      <w:r>
        <w:rPr>
          <w:rFonts w:ascii="Arial" w:hAnsi="Arial" w:cs="Arial"/>
          <w:b/>
          <w:noProof/>
          <w:color w:val="4472C4" w:themeColor="accent5"/>
          <w:sz w:val="48"/>
          <w:szCs w:val="48"/>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-390525</wp:posOffset>
                </wp:positionV>
                <wp:extent cx="7743825" cy="3552825"/>
                <wp:effectExtent l="0" t="0" r="9525" b="9525"/>
                <wp:wrapNone/>
                <wp:docPr id="6" name="Rectangle 6"/>
                <wp:cNvGraphicFramePr/>
                <a:graphic xmlns:a="http://schemas.openxmlformats.org/drawingml/2006/main">
                  <a:graphicData uri="http://schemas.microsoft.com/office/word/2010/wordprocessingShape">
                    <wps:wsp>
                      <wps:cNvSpPr/>
                      <wps:spPr>
                        <a:xfrm>
                          <a:off x="0" y="0"/>
                          <a:ext cx="7743825" cy="3552825"/>
                        </a:xfrm>
                        <a:prstGeom prst="rect">
                          <a:avLst/>
                        </a:prstGeom>
                        <a:solidFill>
                          <a:schemeClr val="bg2">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29D9" id="Rectangle 6" o:spid="_x0000_s1026" style="position:absolute;margin-left:-71.25pt;margin-top:-30.75pt;width:609.75pt;height:2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" fillcolor="#e7e6e6 [3214]" stroked="f" strokeweight="1pt">
                <v:fill opacity="6682f"/>
              </v:rect>
            </w:pict>
          </mc:Fallback>
        </mc:AlternateContent>
      </w:r>
      <w:r w:rsidRPr="00927730">
        <w:rPr>
          <w:rFonts w:ascii="Arial" w:hAnsi="Arial" w:cs="Arial"/>
          <w:b/>
          <w:noProof/>
          <w:color w:val="4472C4" w:themeColor="accent5"/>
          <w:sz w:val="48"/>
          <w:szCs w:val="48"/>
        </w:rPr>
        <w:drawing>
          <wp:anchor distT="0" distB="0" distL="114300" distR="114300" simplePos="0" relativeHeight="251656192" behindDoc="0" locked="0" layoutInCell="1" allowOverlap="1" wp14:anchorId="5F26A522" wp14:editId="6899FE03">
            <wp:simplePos x="0" y="0"/>
            <wp:positionH relativeFrom="page">
              <wp:posOffset>2447290</wp:posOffset>
            </wp:positionH>
            <wp:positionV relativeFrom="page">
              <wp:align>top</wp:align>
            </wp:positionV>
            <wp:extent cx="5629275" cy="3752850"/>
            <wp:effectExtent l="0" t="0" r="9525" b="0"/>
            <wp:wrapSquare wrapText="bothSides"/>
            <wp:docPr id="2" name="Picture 2" descr="H:\Marketing Department\Pictures and Images\No People\Financial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Department\Pictures and Images\No People\Financial Welln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3B8">
        <w:rPr>
          <w:rFonts w:ascii="Arial" w:hAnsi="Arial" w:cs="Arial"/>
          <w:b/>
          <w:noProof/>
          <w:color w:val="4472C4" w:themeColor="accent5"/>
          <w:sz w:val="48"/>
          <w:szCs w:val="48"/>
        </w:rPr>
        <mc:AlternateContent>
          <mc:Choice Requires="wps">
            <w:drawing>
              <wp:anchor distT="0" distB="0" distL="114300" distR="114300" simplePos="0" relativeHeight="251662336" behindDoc="0" locked="0" layoutInCell="1" allowOverlap="1" wp14:anchorId="5C102704" wp14:editId="72B5B5D1">
                <wp:simplePos x="0" y="0"/>
                <wp:positionH relativeFrom="margin">
                  <wp:posOffset>-666750</wp:posOffset>
                </wp:positionH>
                <wp:positionV relativeFrom="paragraph">
                  <wp:posOffset>-227965</wp:posOffset>
                </wp:positionV>
                <wp:extent cx="6715125"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151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730" w:rsidRPr="00D03DB6" w:rsidRDefault="002C77C5" w:rsidP="00D03DB6">
                            <w:pPr>
                              <w:spacing w:after="120" w:line="240" w:lineRule="auto"/>
                              <w:rPr>
                                <w:rFonts w:ascii="Arial Narrow" w:hAnsi="Arial Narrow" w:cs="Arial"/>
                                <w:color w:val="2F5496" w:themeColor="accent5" w:themeShade="BF"/>
                                <w:sz w:val="130"/>
                                <w:szCs w:val="130"/>
                                <w14:shadow w14:blurRad="50800" w14:dist="38100" w14:dir="10800000" w14:sx="100000" w14:sy="100000" w14:kx="0" w14:ky="0" w14:algn="r">
                                  <w14:srgbClr w14:val="000000">
                                    <w14:alpha w14:val="60000"/>
                                  </w14:srgbClr>
                                </w14:shadow>
                                <w14:textFill>
                                  <w14:solidFill>
                                    <w14:schemeClr w14:val="accent5">
                                      <w14:alpha w14:val="11000"/>
                                      <w14:lumMod w14:val="75000"/>
                                    </w14:schemeClr>
                                  </w14:solidFill>
                                </w14:textFill>
                              </w:rPr>
                            </w:pPr>
                            <w:r w:rsidRPr="00D03DB6">
                              <w:rPr>
                                <w:rFonts w:ascii="Arial Narrow" w:hAnsi="Arial Narrow" w:cs="Arial"/>
                                <w:color w:val="2F5496" w:themeColor="accent5" w:themeShade="BF"/>
                                <w:sz w:val="130"/>
                                <w:szCs w:val="130"/>
                                <w14:shadow w14:blurRad="50800" w14:dist="38100" w14:dir="10800000" w14:sx="100000" w14:sy="100000" w14:kx="0" w14:ky="0" w14:algn="r">
                                  <w14:srgbClr w14:val="000000">
                                    <w14:alpha w14:val="60000"/>
                                  </w14:srgbClr>
                                </w14:shadow>
                                <w14:textFill>
                                  <w14:solidFill>
                                    <w14:schemeClr w14:val="accent5">
                                      <w14:alpha w14:val="11000"/>
                                      <w14:lumMod w14:val="75000"/>
                                    </w14:schemeClr>
                                  </w14:solidFill>
                                </w14:textFill>
                              </w:rPr>
                              <w:t>Financial 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02704" id="_x0000_t202" coordsize="21600,21600" o:spt="202" path="m,l,21600r21600,l21600,xe">
                <v:stroke joinstyle="miter"/>
                <v:path gradientshapeok="t" o:connecttype="rect"/>
              </v:shapetype>
              <v:shape id="Text Box 3" o:spid="_x0000_s1026" type="#_x0000_t202" style="position:absolute;left:0;text-align:left;margin-left:-52.5pt;margin-top:-17.95pt;width:528.75pt;height: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" filled="f" stroked="f" strokeweight=".5pt">
                <v:textbox>
                  <w:txbxContent>
                    <w:p w:rsidR="00927730" w:rsidRPr="00D03DB6" w:rsidRDefault="002C77C5" w:rsidP="00D03DB6">
                      <w:pPr>
                        <w:spacing w:after="120" w:line="240" w:lineRule="auto"/>
                        <w:rPr>
                          <w:rFonts w:ascii="Arial Narrow" w:hAnsi="Arial Narrow" w:cs="Arial"/>
                          <w:color w:val="2F5496" w:themeColor="accent5" w:themeShade="BF"/>
                          <w:sz w:val="130"/>
                          <w:szCs w:val="130"/>
                          <w14:shadow w14:blurRad="50800" w14:dist="38100" w14:dir="10800000" w14:sx="100000" w14:sy="100000" w14:kx="0" w14:ky="0" w14:algn="r">
                            <w14:srgbClr w14:val="000000">
                              <w14:alpha w14:val="60000"/>
                            </w14:srgbClr>
                          </w14:shadow>
                          <w14:textFill>
                            <w14:solidFill>
                              <w14:schemeClr w14:val="accent5">
                                <w14:alpha w14:val="11000"/>
                                <w14:lumMod w14:val="75000"/>
                              </w14:schemeClr>
                            </w14:solidFill>
                          </w14:textFill>
                        </w:rPr>
                      </w:pPr>
                      <w:r w:rsidRPr="00D03DB6">
                        <w:rPr>
                          <w:rFonts w:ascii="Arial Narrow" w:hAnsi="Arial Narrow" w:cs="Arial"/>
                          <w:color w:val="2F5496" w:themeColor="accent5" w:themeShade="BF"/>
                          <w:sz w:val="130"/>
                          <w:szCs w:val="130"/>
                          <w14:shadow w14:blurRad="50800" w14:dist="38100" w14:dir="10800000" w14:sx="100000" w14:sy="100000" w14:kx="0" w14:ky="0" w14:algn="r">
                            <w14:srgbClr w14:val="000000">
                              <w14:alpha w14:val="60000"/>
                            </w14:srgbClr>
                          </w14:shadow>
                          <w14:textFill>
                            <w14:solidFill>
                              <w14:schemeClr w14:val="accent5">
                                <w14:alpha w14:val="11000"/>
                                <w14:lumMod w14:val="75000"/>
                              </w14:schemeClr>
                            </w14:solidFill>
                          </w14:textFill>
                        </w:rPr>
                        <w:t>Financial Wellness</w:t>
                      </w:r>
                    </w:p>
                  </w:txbxContent>
                </v:textbox>
                <w10:wrap anchorx="margin"/>
              </v:shape>
            </w:pict>
          </mc:Fallback>
        </mc:AlternateContent>
      </w:r>
    </w:p>
    <w:p w:rsidR="00927730" w:rsidRDefault="00D03DB6" w:rsidP="00073F88">
      <w:pPr>
        <w:spacing w:after="240"/>
        <w:ind w:left="-806"/>
        <w:rPr>
          <w:rFonts w:ascii="Arial" w:hAnsi="Arial" w:cs="Arial"/>
          <w:b/>
          <w:color w:val="4472C4" w:themeColor="accent5"/>
          <w:sz w:val="48"/>
          <w:szCs w:val="48"/>
        </w:rPr>
      </w:pPr>
      <w:r>
        <w:rPr>
          <w:rFonts w:ascii="Arial" w:hAnsi="Arial" w:cs="Arial"/>
          <w:b/>
          <w:noProof/>
          <w:color w:val="4472C4" w:themeColor="accent5"/>
          <w:sz w:val="48"/>
          <w:szCs w:val="48"/>
        </w:rPr>
        <mc:AlternateContent>
          <mc:Choice Requires="wps">
            <w:drawing>
              <wp:anchor distT="0" distB="0" distL="114300" distR="114300" simplePos="0" relativeHeight="251660288" behindDoc="0" locked="0" layoutInCell="1" allowOverlap="1" wp14:anchorId="2717222D" wp14:editId="3D86CED2">
                <wp:simplePos x="0" y="0"/>
                <wp:positionH relativeFrom="column">
                  <wp:posOffset>-438150</wp:posOffset>
                </wp:positionH>
                <wp:positionV relativeFrom="paragraph">
                  <wp:posOffset>535940</wp:posOffset>
                </wp:positionV>
                <wp:extent cx="1752600" cy="1695450"/>
                <wp:effectExtent l="0" t="0" r="0" b="0"/>
                <wp:wrapNone/>
                <wp:docPr id="5" name="Rectangle 5"/>
                <wp:cNvGraphicFramePr/>
                <a:graphic xmlns:a="http://schemas.openxmlformats.org/drawingml/2006/main">
                  <a:graphicData uri="http://schemas.microsoft.com/office/word/2010/wordprocessingShape">
                    <wps:wsp>
                      <wps:cNvSpPr/>
                      <wps:spPr>
                        <a:xfrm>
                          <a:off x="0" y="0"/>
                          <a:ext cx="1752600" cy="1695450"/>
                        </a:xfrm>
                        <a:prstGeom prst="rect">
                          <a:avLst/>
                        </a:prstGeom>
                        <a:solidFill>
                          <a:schemeClr val="accent1">
                            <a:alpha val="7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2369E" id="Rectangle 5" o:spid="_x0000_s1026" style="position:absolute;margin-left:-34.5pt;margin-top:42.2pt;width:138pt;height:1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" fillcolor="#5b9bd5 [3204]" stroked="f" strokeweight="1pt">
                <v:fill opacity="51143f"/>
              </v:rect>
            </w:pict>
          </mc:Fallback>
        </mc:AlternateContent>
      </w:r>
    </w:p>
    <w:p w:rsidR="00927730" w:rsidRDefault="002C77C5" w:rsidP="00073F88">
      <w:pPr>
        <w:spacing w:after="240"/>
        <w:ind w:left="-806"/>
        <w:rPr>
          <w:rFonts w:ascii="Arial" w:hAnsi="Arial" w:cs="Arial"/>
          <w:b/>
          <w:color w:val="4472C4" w:themeColor="accent5"/>
          <w:sz w:val="48"/>
          <w:szCs w:val="48"/>
        </w:rPr>
      </w:pPr>
      <w:r>
        <w:rPr>
          <w:rFonts w:ascii="Arial" w:hAnsi="Arial" w:cs="Arial"/>
          <w:b/>
          <w:noProof/>
          <w:color w:val="4472C4" w:themeColor="accent5"/>
          <w:sz w:val="48"/>
          <w:szCs w:val="48"/>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101600</wp:posOffset>
                </wp:positionV>
                <wp:extent cx="1517153" cy="1526672"/>
                <wp:effectExtent l="0" t="0" r="0" b="0"/>
                <wp:wrapNone/>
                <wp:docPr id="4" name="Text Box 4"/>
                <wp:cNvGraphicFramePr/>
                <a:graphic xmlns:a="http://schemas.openxmlformats.org/drawingml/2006/main">
                  <a:graphicData uri="http://schemas.microsoft.com/office/word/2010/wordprocessingShape">
                    <wps:wsp>
                      <wps:cNvSpPr txBox="1"/>
                      <wps:spPr>
                        <a:xfrm>
                          <a:off x="0" y="0"/>
                          <a:ext cx="1517153" cy="1526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730" w:rsidRPr="00EB5A33" w:rsidRDefault="001423B8">
                            <w:pPr>
                              <w:rPr>
                                <w:rFonts w:ascii="Arial" w:hAnsi="Arial" w:cs="Arial"/>
                                <w:i/>
                                <w:color w:val="FFFFFF" w:themeColor="background1"/>
                                <w:sz w:val="32"/>
                                <w:szCs w:val="32"/>
                              </w:rPr>
                            </w:pPr>
                            <w:r w:rsidRPr="00EB5A33">
                              <w:rPr>
                                <w:rFonts w:ascii="Arial" w:hAnsi="Arial" w:cs="Arial"/>
                                <w:i/>
                                <w:color w:val="FFFFFF" w:themeColor="background1"/>
                                <w:sz w:val="32"/>
                                <w:szCs w:val="32"/>
                              </w:rPr>
                              <w:t xml:space="preserve">How is your financial health? Is it time for a check-up?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21.25pt;margin-top:8pt;width:119.45pt;height:1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" filled="f" stroked="f" strokeweight=".5pt">
                <v:textbox>
                  <w:txbxContent>
                    <w:p w:rsidR="00927730" w:rsidRPr="00EB5A33" w:rsidRDefault="001423B8">
                      <w:pPr>
                        <w:rPr>
                          <w:rFonts w:ascii="Arial" w:hAnsi="Arial" w:cs="Arial"/>
                          <w:i/>
                          <w:color w:val="FFFFFF" w:themeColor="background1"/>
                          <w:sz w:val="32"/>
                          <w:szCs w:val="32"/>
                        </w:rPr>
                      </w:pPr>
                      <w:r w:rsidRPr="00EB5A33">
                        <w:rPr>
                          <w:rFonts w:ascii="Arial" w:hAnsi="Arial" w:cs="Arial"/>
                          <w:i/>
                          <w:color w:val="FFFFFF" w:themeColor="background1"/>
                          <w:sz w:val="32"/>
                          <w:szCs w:val="32"/>
                        </w:rPr>
                        <w:t xml:space="preserve">How is your financial health? Is it time for a check-up? </w:t>
                      </w:r>
                    </w:p>
                  </w:txbxContent>
                </v:textbox>
              </v:shape>
            </w:pict>
          </mc:Fallback>
        </mc:AlternateContent>
      </w:r>
    </w:p>
    <w:p w:rsidR="00927730" w:rsidRDefault="00927730" w:rsidP="00073F88">
      <w:pPr>
        <w:spacing w:after="240"/>
        <w:ind w:left="-806"/>
        <w:rPr>
          <w:rFonts w:ascii="Arial" w:hAnsi="Arial" w:cs="Arial"/>
          <w:b/>
          <w:color w:val="4472C4" w:themeColor="accent5"/>
          <w:sz w:val="48"/>
          <w:szCs w:val="48"/>
        </w:rPr>
      </w:pPr>
    </w:p>
    <w:p w:rsidR="00927730" w:rsidRDefault="00927730" w:rsidP="00767896">
      <w:pPr>
        <w:ind w:left="-810"/>
        <w:rPr>
          <w:rFonts w:ascii="Arial" w:hAnsi="Arial" w:cs="Arial"/>
          <w:b/>
          <w:color w:val="4472C4" w:themeColor="accent5"/>
          <w:sz w:val="48"/>
          <w:szCs w:val="48"/>
        </w:rPr>
      </w:pPr>
    </w:p>
    <w:p w:rsidR="00927730" w:rsidRDefault="002C77C5" w:rsidP="00767896">
      <w:pPr>
        <w:ind w:left="-810"/>
        <w:rPr>
          <w:rFonts w:ascii="Arial" w:hAnsi="Arial" w:cs="Arial"/>
          <w:b/>
          <w:color w:val="4472C4" w:themeColor="accent5"/>
          <w:sz w:val="48"/>
          <w:szCs w:val="48"/>
        </w:rPr>
      </w:pPr>
      <w:r>
        <w:rPr>
          <w:rFonts w:ascii="Arial" w:hAnsi="Arial" w:cs="Arial"/>
          <w:b/>
          <w:noProof/>
          <w:color w:val="4472C4" w:themeColor="accent5"/>
          <w:sz w:val="48"/>
          <w:szCs w:val="48"/>
        </w:rPr>
        <mc:AlternateContent>
          <mc:Choice Requires="wps">
            <w:drawing>
              <wp:anchor distT="0" distB="0" distL="114300" distR="114300" simplePos="0" relativeHeight="251663360" behindDoc="0" locked="0" layoutInCell="1" allowOverlap="1" wp14:anchorId="2B3D5F38" wp14:editId="6C7AC095">
                <wp:simplePos x="0" y="0"/>
                <wp:positionH relativeFrom="column">
                  <wp:posOffset>-904875</wp:posOffset>
                </wp:positionH>
                <wp:positionV relativeFrom="paragraph">
                  <wp:posOffset>598170</wp:posOffset>
                </wp:positionV>
                <wp:extent cx="7781925" cy="0"/>
                <wp:effectExtent l="0" t="19050" r="47625" b="38100"/>
                <wp:wrapNone/>
                <wp:docPr id="7" name="Straight Connector 7"/>
                <wp:cNvGraphicFramePr/>
                <a:graphic xmlns:a="http://schemas.openxmlformats.org/drawingml/2006/main">
                  <a:graphicData uri="http://schemas.microsoft.com/office/word/2010/wordprocessingShape">
                    <wps:wsp>
                      <wps:cNvCnPr/>
                      <wps:spPr>
                        <a:xfrm>
                          <a:off x="0" y="0"/>
                          <a:ext cx="7781925" cy="0"/>
                        </a:xfrm>
                        <a:prstGeom prst="line">
                          <a:avLst/>
                        </a:prstGeom>
                        <a:ln w="571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4B21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25pt,47.1pt" to="54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" strokecolor="#5a5a5a [2109]" strokeweight="4.5pt">
                <v:stroke joinstyle="miter"/>
              </v:line>
            </w:pict>
          </mc:Fallback>
        </mc:AlternateContent>
      </w:r>
    </w:p>
    <w:p w:rsidR="002C77C5" w:rsidRDefault="002C77C5" w:rsidP="00767896">
      <w:pPr>
        <w:ind w:left="-810"/>
        <w:rPr>
          <w:rFonts w:ascii="Arial" w:hAnsi="Arial" w:cs="Arial"/>
          <w:b/>
          <w:color w:val="4472C4" w:themeColor="accent5"/>
          <w:sz w:val="40"/>
          <w:szCs w:val="40"/>
        </w:rPr>
      </w:pPr>
    </w:p>
    <w:p w:rsidR="00477EAF" w:rsidRPr="00EF00E2" w:rsidRDefault="00477EAF" w:rsidP="00B70A70">
      <w:pPr>
        <w:spacing w:after="120"/>
        <w:ind w:left="-806" w:right="-634"/>
        <w:rPr>
          <w:rFonts w:ascii="Arial" w:hAnsi="Arial" w:cs="Arial"/>
          <w:b/>
          <w:sz w:val="24"/>
          <w:szCs w:val="28"/>
        </w:rPr>
      </w:pPr>
      <w:r w:rsidRPr="00EF00E2">
        <w:rPr>
          <w:rFonts w:ascii="Arial" w:hAnsi="Arial" w:cs="Arial"/>
          <w:b/>
          <w:sz w:val="24"/>
          <w:szCs w:val="28"/>
        </w:rPr>
        <w:t xml:space="preserve">We are excited to present a seven-part series on financial wellness that will cover several financial struggles Americans are facing and ways to overcome them. </w:t>
      </w:r>
    </w:p>
    <w:p w:rsidR="00477EAF" w:rsidRPr="00EF00E2" w:rsidRDefault="00B16959" w:rsidP="00B16959">
      <w:pPr>
        <w:ind w:left="-810"/>
        <w:rPr>
          <w:rFonts w:ascii="Arial" w:hAnsi="Arial" w:cs="Arial"/>
          <w:b/>
          <w:color w:val="44546A" w:themeColor="text2"/>
          <w:sz w:val="36"/>
          <w:szCs w:val="40"/>
        </w:rPr>
      </w:pPr>
      <w:r w:rsidRPr="00EF00E2">
        <w:rPr>
          <w:rFonts w:ascii="Arial" w:hAnsi="Arial" w:cs="Arial"/>
          <w:b/>
          <w:color w:val="44546A" w:themeColor="text2"/>
          <w:sz w:val="36"/>
          <w:szCs w:val="40"/>
        </w:rPr>
        <w:t xml:space="preserve">Part </w:t>
      </w:r>
      <w:r w:rsidR="00072EC6" w:rsidRPr="00EF00E2">
        <w:rPr>
          <w:rFonts w:ascii="Arial" w:hAnsi="Arial" w:cs="Arial"/>
          <w:b/>
          <w:color w:val="44546A" w:themeColor="text2"/>
          <w:sz w:val="36"/>
          <w:szCs w:val="40"/>
        </w:rPr>
        <w:t>I</w:t>
      </w:r>
      <w:r w:rsidRPr="00EF00E2">
        <w:rPr>
          <w:rFonts w:ascii="Arial" w:hAnsi="Arial" w:cs="Arial"/>
          <w:b/>
          <w:color w:val="44546A" w:themeColor="text2"/>
          <w:sz w:val="36"/>
          <w:szCs w:val="40"/>
        </w:rPr>
        <w:t>I</w:t>
      </w:r>
      <w:r w:rsidR="00311B26" w:rsidRPr="00EF00E2">
        <w:rPr>
          <w:rFonts w:ascii="Arial" w:hAnsi="Arial" w:cs="Arial"/>
          <w:b/>
          <w:color w:val="44546A" w:themeColor="text2"/>
          <w:sz w:val="36"/>
          <w:szCs w:val="40"/>
        </w:rPr>
        <w:t>I</w:t>
      </w:r>
      <w:r w:rsidRPr="00EF00E2">
        <w:rPr>
          <w:rFonts w:ascii="Arial" w:hAnsi="Arial" w:cs="Arial"/>
          <w:b/>
          <w:color w:val="44546A" w:themeColor="text2"/>
          <w:sz w:val="36"/>
          <w:szCs w:val="40"/>
        </w:rPr>
        <w:t xml:space="preserve">: </w:t>
      </w:r>
      <w:r w:rsidR="00311B26" w:rsidRPr="00EF00E2">
        <w:rPr>
          <w:rFonts w:ascii="Arial" w:hAnsi="Arial" w:cs="Arial"/>
          <w:b/>
          <w:color w:val="44546A" w:themeColor="text2"/>
          <w:sz w:val="36"/>
          <w:szCs w:val="40"/>
        </w:rPr>
        <w:t>Saving for College</w:t>
      </w:r>
    </w:p>
    <w:p w:rsidR="003733A5" w:rsidRPr="00EF00E2" w:rsidRDefault="00311B26" w:rsidP="00EF00E2">
      <w:pPr>
        <w:spacing w:after="120" w:line="264" w:lineRule="auto"/>
        <w:ind w:left="-806" w:right="-547"/>
        <w:rPr>
          <w:rFonts w:ascii="Arial" w:hAnsi="Arial" w:cs="Arial"/>
          <w:sz w:val="20"/>
          <w:szCs w:val="21"/>
        </w:rPr>
      </w:pPr>
      <w:r w:rsidRPr="00EF00E2">
        <w:rPr>
          <w:rFonts w:ascii="Arial" w:hAnsi="Arial" w:cs="Arial"/>
          <w:sz w:val="20"/>
          <w:szCs w:val="21"/>
        </w:rPr>
        <w:t xml:space="preserve">You have big dreams for your children. </w:t>
      </w:r>
      <w:r w:rsidR="00863917" w:rsidRPr="00EF00E2">
        <w:rPr>
          <w:rFonts w:ascii="Arial" w:hAnsi="Arial" w:cs="Arial"/>
          <w:sz w:val="20"/>
          <w:szCs w:val="21"/>
        </w:rPr>
        <w:t>Maybe they will grow to be an astronaut or a doct</w:t>
      </w:r>
      <w:r w:rsidR="00606C44" w:rsidRPr="00EF00E2">
        <w:rPr>
          <w:rFonts w:ascii="Arial" w:hAnsi="Arial" w:cs="Arial"/>
          <w:sz w:val="20"/>
          <w:szCs w:val="21"/>
        </w:rPr>
        <w:t>or—their potential has no limit</w:t>
      </w:r>
      <w:r w:rsidR="00863917" w:rsidRPr="00EF00E2">
        <w:rPr>
          <w:rFonts w:ascii="Arial" w:hAnsi="Arial" w:cs="Arial"/>
          <w:sz w:val="20"/>
          <w:szCs w:val="21"/>
        </w:rPr>
        <w:t xml:space="preserve">. Have you considered how they will get there? Have you started to save for your children’s future education? According to the National Center for Education Statistics (NCES), the average annual cost for undergraduate tuition, fees, room and board were estimated to be </w:t>
      </w:r>
      <w:r w:rsidR="00191C0F" w:rsidRPr="00EF00E2">
        <w:rPr>
          <w:rFonts w:ascii="Arial" w:hAnsi="Arial" w:cs="Arial"/>
          <w:sz w:val="20"/>
          <w:szCs w:val="21"/>
        </w:rPr>
        <w:t>$16,188 at public institutions, $41,970 at private non-profit institutions and $23,372 at private for-profit institutions</w:t>
      </w:r>
      <w:r w:rsidR="00634F4C" w:rsidRPr="00EF00E2">
        <w:rPr>
          <w:rFonts w:ascii="Arial" w:hAnsi="Arial" w:cs="Arial"/>
          <w:sz w:val="20"/>
          <w:szCs w:val="21"/>
        </w:rPr>
        <w:t>—</w:t>
      </w:r>
      <w:r w:rsidR="00537C66" w:rsidRPr="00EF00E2">
        <w:rPr>
          <w:rFonts w:ascii="Arial" w:hAnsi="Arial" w:cs="Arial"/>
          <w:sz w:val="20"/>
          <w:szCs w:val="21"/>
        </w:rPr>
        <w:t>that’s a significant additional cost.</w:t>
      </w:r>
    </w:p>
    <w:p w:rsidR="002D33EF" w:rsidRPr="00EF00E2" w:rsidRDefault="00EF00E2" w:rsidP="00EF00E2">
      <w:pPr>
        <w:spacing w:after="120" w:line="264" w:lineRule="auto"/>
        <w:ind w:left="-806" w:right="-547"/>
        <w:rPr>
          <w:rFonts w:ascii="Arial" w:hAnsi="Arial" w:cs="Arial"/>
          <w:sz w:val="20"/>
          <w:szCs w:val="21"/>
        </w:rPr>
      </w:pPr>
      <w:r w:rsidRPr="00EF00E2">
        <w:rPr>
          <w:rFonts w:ascii="Arial" w:hAnsi="Arial" w:cs="Arial"/>
          <w:b/>
          <w:noProof/>
          <w:sz w:val="20"/>
          <w:szCs w:val="21"/>
        </w:rPr>
        <w:drawing>
          <wp:anchor distT="0" distB="0" distL="114300" distR="114300" simplePos="0" relativeHeight="251665408" behindDoc="1" locked="0" layoutInCell="1" allowOverlap="1" wp14:anchorId="49698764" wp14:editId="707BE7C2">
            <wp:simplePos x="0" y="0"/>
            <wp:positionH relativeFrom="column">
              <wp:posOffset>3695700</wp:posOffset>
            </wp:positionH>
            <wp:positionV relativeFrom="paragraph">
              <wp:posOffset>558800</wp:posOffset>
            </wp:positionV>
            <wp:extent cx="2486025" cy="1660525"/>
            <wp:effectExtent l="0" t="0" r="9525" b="0"/>
            <wp:wrapTight wrapText="bothSides">
              <wp:wrapPolygon edited="0">
                <wp:start x="0" y="0"/>
                <wp:lineTo x="0" y="21311"/>
                <wp:lineTo x="21517" y="21311"/>
                <wp:lineTo x="21517" y="0"/>
                <wp:lineTo x="0" y="0"/>
              </wp:wrapPolygon>
            </wp:wrapTight>
            <wp:docPr id="9" name="Picture 9" descr="H:\Marketing Department\Pictures and Images\People\Child 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Department\Pictures and Images\People\Child doct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C66" w:rsidRPr="00EF00E2">
        <w:rPr>
          <w:rFonts w:ascii="Arial" w:hAnsi="Arial" w:cs="Arial"/>
          <w:sz w:val="20"/>
          <w:szCs w:val="21"/>
        </w:rPr>
        <w:t xml:space="preserve">If you haven’t begun to save for your child’s college education, you are not alone. </w:t>
      </w:r>
      <w:r w:rsidR="00060EDE" w:rsidRPr="00EF00E2">
        <w:rPr>
          <w:rFonts w:ascii="Arial" w:hAnsi="Arial" w:cs="Arial"/>
          <w:sz w:val="20"/>
          <w:szCs w:val="21"/>
        </w:rPr>
        <w:t>Just over half of families</w:t>
      </w:r>
      <w:r w:rsidR="00537C66" w:rsidRPr="00EF00E2">
        <w:rPr>
          <w:rFonts w:ascii="Arial" w:hAnsi="Arial" w:cs="Arial"/>
          <w:sz w:val="20"/>
          <w:szCs w:val="21"/>
        </w:rPr>
        <w:t xml:space="preserve"> </w:t>
      </w:r>
      <w:r w:rsidR="00060EDE" w:rsidRPr="00EF00E2">
        <w:rPr>
          <w:rFonts w:ascii="Arial" w:hAnsi="Arial" w:cs="Arial"/>
          <w:sz w:val="20"/>
          <w:szCs w:val="21"/>
        </w:rPr>
        <w:t>(57 percent)</w:t>
      </w:r>
      <w:r w:rsidR="00537C66" w:rsidRPr="00EF00E2">
        <w:rPr>
          <w:rFonts w:ascii="Arial" w:hAnsi="Arial" w:cs="Arial"/>
          <w:sz w:val="20"/>
          <w:szCs w:val="21"/>
        </w:rPr>
        <w:t xml:space="preserve"> have started to save¹. Consider saving in a 529 plan. A 529 plan is a tax-advantaged savings plan designed to encourage saving for future college costs².</w:t>
      </w:r>
    </w:p>
    <w:p w:rsidR="006E15BF" w:rsidRPr="00EF00E2" w:rsidRDefault="00634F4C" w:rsidP="00EF00E2">
      <w:pPr>
        <w:spacing w:after="0" w:line="264" w:lineRule="auto"/>
        <w:ind w:left="-810" w:right="-547"/>
        <w:rPr>
          <w:rFonts w:ascii="Arial" w:hAnsi="Arial" w:cs="Arial"/>
          <w:b/>
          <w:sz w:val="20"/>
          <w:szCs w:val="21"/>
          <w:u w:val="single"/>
        </w:rPr>
      </w:pPr>
      <w:r w:rsidRPr="00EF00E2">
        <w:rPr>
          <w:rFonts w:ascii="Arial" w:hAnsi="Arial" w:cs="Arial"/>
          <w:b/>
          <w:sz w:val="20"/>
          <w:szCs w:val="21"/>
          <w:u w:val="single"/>
        </w:rPr>
        <w:t>Benefits of 529 Plans</w:t>
      </w:r>
      <w:r w:rsidR="00492F0E" w:rsidRPr="00EF00E2">
        <w:rPr>
          <w:rFonts w:ascii="Arial" w:hAnsi="Arial" w:cs="Arial"/>
          <w:b/>
          <w:sz w:val="20"/>
          <w:szCs w:val="21"/>
          <w:u w:val="single"/>
        </w:rPr>
        <w:t>:</w:t>
      </w:r>
    </w:p>
    <w:p w:rsidR="008C489F" w:rsidRPr="00EF00E2" w:rsidRDefault="001354CB" w:rsidP="00EF00E2">
      <w:pPr>
        <w:pStyle w:val="ListParagraph"/>
        <w:numPr>
          <w:ilvl w:val="0"/>
          <w:numId w:val="2"/>
        </w:numPr>
        <w:spacing w:after="0" w:line="264" w:lineRule="auto"/>
        <w:ind w:left="-630" w:right="-547" w:hanging="180"/>
        <w:rPr>
          <w:rFonts w:ascii="Arial" w:hAnsi="Arial" w:cs="Arial"/>
          <w:sz w:val="20"/>
          <w:szCs w:val="21"/>
        </w:rPr>
      </w:pPr>
      <w:r w:rsidRPr="00EF00E2">
        <w:rPr>
          <w:rFonts w:ascii="Arial" w:hAnsi="Arial" w:cs="Arial"/>
          <w:sz w:val="20"/>
          <w:szCs w:val="21"/>
        </w:rPr>
        <w:t>Flexibility over investment options</w:t>
      </w:r>
    </w:p>
    <w:p w:rsidR="008C489F" w:rsidRPr="00EF00E2" w:rsidRDefault="001354CB" w:rsidP="00EF00E2">
      <w:pPr>
        <w:pStyle w:val="ListParagraph"/>
        <w:numPr>
          <w:ilvl w:val="0"/>
          <w:numId w:val="2"/>
        </w:numPr>
        <w:spacing w:after="0" w:line="264" w:lineRule="auto"/>
        <w:ind w:left="-630" w:right="-547" w:hanging="180"/>
        <w:rPr>
          <w:rFonts w:ascii="Arial" w:hAnsi="Arial" w:cs="Arial"/>
          <w:sz w:val="20"/>
          <w:szCs w:val="21"/>
        </w:rPr>
      </w:pPr>
      <w:r w:rsidRPr="00EF00E2">
        <w:rPr>
          <w:rFonts w:ascii="Arial" w:hAnsi="Arial" w:cs="Arial"/>
          <w:sz w:val="20"/>
          <w:szCs w:val="21"/>
        </w:rPr>
        <w:t>Tax-free growth and withdrawals made permanent with passing of the Pension Protection Act (PPA) in 2006</w:t>
      </w:r>
    </w:p>
    <w:p w:rsidR="008C489F" w:rsidRPr="00EF00E2" w:rsidRDefault="001354CB" w:rsidP="00EF00E2">
      <w:pPr>
        <w:pStyle w:val="ListParagraph"/>
        <w:numPr>
          <w:ilvl w:val="0"/>
          <w:numId w:val="2"/>
        </w:numPr>
        <w:spacing w:after="0" w:line="264" w:lineRule="auto"/>
        <w:ind w:left="-630" w:right="-547" w:hanging="180"/>
        <w:rPr>
          <w:rFonts w:ascii="Arial" w:hAnsi="Arial" w:cs="Arial"/>
          <w:sz w:val="20"/>
          <w:szCs w:val="21"/>
        </w:rPr>
      </w:pPr>
      <w:r w:rsidRPr="00EF00E2">
        <w:rPr>
          <w:rFonts w:ascii="Arial" w:hAnsi="Arial" w:cs="Arial"/>
          <w:sz w:val="20"/>
          <w:szCs w:val="21"/>
        </w:rPr>
        <w:t>Some states allow tax deductions and exemptions on gains</w:t>
      </w:r>
    </w:p>
    <w:p w:rsidR="008C489F" w:rsidRPr="00EF00E2" w:rsidRDefault="001354CB" w:rsidP="00EF00E2">
      <w:pPr>
        <w:pStyle w:val="ListParagraph"/>
        <w:numPr>
          <w:ilvl w:val="0"/>
          <w:numId w:val="2"/>
        </w:numPr>
        <w:spacing w:after="0" w:line="264" w:lineRule="auto"/>
        <w:ind w:left="-630" w:right="-547" w:hanging="180"/>
        <w:rPr>
          <w:rFonts w:ascii="Arial" w:hAnsi="Arial" w:cs="Arial"/>
          <w:sz w:val="20"/>
          <w:szCs w:val="21"/>
        </w:rPr>
      </w:pPr>
      <w:r w:rsidRPr="00EF00E2">
        <w:rPr>
          <w:rFonts w:ascii="Arial" w:hAnsi="Arial" w:cs="Arial"/>
          <w:sz w:val="20"/>
          <w:szCs w:val="21"/>
        </w:rPr>
        <w:t>Donor has control over assets and investments</w:t>
      </w:r>
    </w:p>
    <w:p w:rsidR="008C489F" w:rsidRPr="00EF00E2" w:rsidRDefault="001354CB" w:rsidP="00EF00E2">
      <w:pPr>
        <w:pStyle w:val="ListParagraph"/>
        <w:numPr>
          <w:ilvl w:val="0"/>
          <w:numId w:val="2"/>
        </w:numPr>
        <w:spacing w:after="0" w:line="264" w:lineRule="auto"/>
        <w:ind w:left="-630" w:right="-547" w:hanging="180"/>
        <w:rPr>
          <w:rFonts w:ascii="Arial" w:hAnsi="Arial" w:cs="Arial"/>
          <w:sz w:val="20"/>
          <w:szCs w:val="21"/>
        </w:rPr>
      </w:pPr>
      <w:r w:rsidRPr="00EF00E2">
        <w:rPr>
          <w:rFonts w:ascii="Arial" w:hAnsi="Arial" w:cs="Arial"/>
          <w:sz w:val="20"/>
          <w:szCs w:val="21"/>
        </w:rPr>
        <w:t>Can be used in any state, any school</w:t>
      </w:r>
    </w:p>
    <w:p w:rsidR="008C489F" w:rsidRPr="00EF00E2" w:rsidRDefault="001354CB" w:rsidP="00EF00E2">
      <w:pPr>
        <w:pStyle w:val="ListParagraph"/>
        <w:numPr>
          <w:ilvl w:val="0"/>
          <w:numId w:val="2"/>
        </w:numPr>
        <w:spacing w:after="0" w:line="264" w:lineRule="auto"/>
        <w:ind w:left="-630" w:right="-547" w:hanging="180"/>
        <w:rPr>
          <w:rFonts w:ascii="Arial" w:hAnsi="Arial" w:cs="Arial"/>
          <w:sz w:val="20"/>
          <w:szCs w:val="21"/>
        </w:rPr>
      </w:pPr>
      <w:r w:rsidRPr="00EF00E2">
        <w:rPr>
          <w:rFonts w:ascii="Arial" w:hAnsi="Arial" w:cs="Arial"/>
          <w:sz w:val="20"/>
          <w:szCs w:val="21"/>
        </w:rPr>
        <w:t xml:space="preserve">Can be </w:t>
      </w:r>
      <w:r w:rsidR="00EF00E2">
        <w:rPr>
          <w:rFonts w:ascii="Arial" w:hAnsi="Arial" w:cs="Arial"/>
          <w:sz w:val="20"/>
          <w:szCs w:val="21"/>
        </w:rPr>
        <w:t>transferred to another beneficiary at any time</w:t>
      </w:r>
    </w:p>
    <w:p w:rsidR="006E15BF" w:rsidRPr="00EF00E2" w:rsidRDefault="00634F4C" w:rsidP="00EF00E2">
      <w:pPr>
        <w:pStyle w:val="ListParagraph"/>
        <w:numPr>
          <w:ilvl w:val="0"/>
          <w:numId w:val="2"/>
        </w:numPr>
        <w:spacing w:after="120" w:line="264" w:lineRule="auto"/>
        <w:ind w:left="-619" w:right="-547" w:hanging="187"/>
        <w:contextualSpacing w:val="0"/>
        <w:rPr>
          <w:rFonts w:ascii="Arial" w:hAnsi="Arial" w:cs="Arial"/>
          <w:sz w:val="20"/>
          <w:szCs w:val="21"/>
          <w:u w:val="single"/>
        </w:rPr>
      </w:pPr>
      <w:r w:rsidRPr="00EF00E2">
        <w:rPr>
          <w:rFonts w:ascii="Arial" w:hAnsi="Arial" w:cs="Arial"/>
          <w:sz w:val="20"/>
          <w:szCs w:val="21"/>
        </w:rPr>
        <w:t>No income limitations or age restrictions</w:t>
      </w:r>
    </w:p>
    <w:p w:rsidR="002D33EF" w:rsidRPr="00EF00E2" w:rsidRDefault="001354CB" w:rsidP="00EF00E2">
      <w:pPr>
        <w:spacing w:after="120" w:line="264" w:lineRule="auto"/>
        <w:ind w:left="-810" w:right="-547"/>
        <w:rPr>
          <w:rFonts w:ascii="Arial" w:hAnsi="Arial" w:cs="Arial"/>
          <w:sz w:val="20"/>
          <w:szCs w:val="21"/>
        </w:rPr>
      </w:pPr>
      <w:r w:rsidRPr="00EF00E2">
        <w:rPr>
          <w:rFonts w:ascii="Arial" w:hAnsi="Arial" w:cs="Arial"/>
          <w:sz w:val="20"/>
          <w:szCs w:val="21"/>
        </w:rPr>
        <w:t>Begin saving for your child’s future today and you’ll thank yourself for it when the Ivy League acceptance letters start rolling in.</w:t>
      </w:r>
    </w:p>
    <w:p w:rsidR="006E15BF" w:rsidRPr="00EF00E2" w:rsidRDefault="006E15BF" w:rsidP="00EF00E2">
      <w:pPr>
        <w:spacing w:after="120" w:line="264" w:lineRule="auto"/>
        <w:ind w:left="-810" w:right="-547"/>
        <w:rPr>
          <w:rFonts w:ascii="Arial" w:hAnsi="Arial" w:cs="Arial"/>
          <w:b/>
          <w:color w:val="44546A" w:themeColor="text2"/>
          <w:sz w:val="20"/>
          <w:szCs w:val="21"/>
        </w:rPr>
      </w:pPr>
      <w:r w:rsidRPr="00EF00E2">
        <w:rPr>
          <w:rFonts w:ascii="Arial" w:hAnsi="Arial" w:cs="Arial"/>
          <w:sz w:val="20"/>
          <w:szCs w:val="21"/>
        </w:rPr>
        <w:t>For more information on</w:t>
      </w:r>
      <w:r w:rsidR="00634F4C" w:rsidRPr="00EF00E2">
        <w:rPr>
          <w:rFonts w:ascii="Arial" w:hAnsi="Arial" w:cs="Arial"/>
          <w:sz w:val="20"/>
          <w:szCs w:val="21"/>
        </w:rPr>
        <w:t xml:space="preserve"> 529 college savings plans and</w:t>
      </w:r>
      <w:r w:rsidRPr="00EF00E2">
        <w:rPr>
          <w:rFonts w:ascii="Arial" w:hAnsi="Arial" w:cs="Arial"/>
          <w:sz w:val="20"/>
          <w:szCs w:val="21"/>
        </w:rPr>
        <w:t xml:space="preserve"> financial wellness, contact our retirement plan </w:t>
      </w:r>
      <w:r w:rsidR="00F571EA" w:rsidRPr="00EF00E2">
        <w:rPr>
          <w:rFonts w:ascii="Arial" w:hAnsi="Arial" w:cs="Arial"/>
          <w:sz w:val="20"/>
          <w:szCs w:val="21"/>
        </w:rPr>
        <w:t>advisor</w:t>
      </w:r>
      <w:r w:rsidRPr="00EF00E2">
        <w:rPr>
          <w:rFonts w:ascii="Arial" w:hAnsi="Arial" w:cs="Arial"/>
          <w:sz w:val="20"/>
          <w:szCs w:val="21"/>
        </w:rPr>
        <w:t xml:space="preserve"> at </w:t>
      </w:r>
      <w:r w:rsidR="00F22DA6">
        <w:rPr>
          <w:rFonts w:ascii="Arial" w:hAnsi="Arial" w:cs="Arial"/>
          <w:sz w:val="20"/>
          <w:szCs w:val="21"/>
        </w:rPr>
        <w:t xml:space="preserve">908-233-8100 or </w:t>
      </w:r>
      <w:hyperlink r:id="rId10" w:history="1">
        <w:r w:rsidR="00F22DA6" w:rsidRPr="00104C11">
          <w:rPr>
            <w:rStyle w:val="Hyperlink"/>
            <w:rFonts w:ascii="Arial" w:hAnsi="Arial" w:cs="Arial"/>
            <w:sz w:val="20"/>
            <w:szCs w:val="21"/>
          </w:rPr>
          <w:t>retirementconsulting@gatewayadvisory.com</w:t>
        </w:r>
      </w:hyperlink>
      <w:r w:rsidR="00F22DA6">
        <w:rPr>
          <w:rFonts w:ascii="Arial" w:hAnsi="Arial" w:cs="Arial"/>
          <w:sz w:val="20"/>
          <w:szCs w:val="21"/>
        </w:rPr>
        <w:t xml:space="preserve"> </w:t>
      </w:r>
      <w:bookmarkStart w:id="0" w:name="_GoBack"/>
      <w:bookmarkEnd w:id="0"/>
    </w:p>
    <w:sectPr w:rsidR="006E15BF" w:rsidRPr="00EF00E2" w:rsidSect="00EF00E2">
      <w:footerReference w:type="default" r:id="rId11"/>
      <w:pgSz w:w="12240" w:h="15840"/>
      <w:pgMar w:top="630" w:right="900" w:bottom="72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50" w:rsidRDefault="008B5450" w:rsidP="008B5450">
      <w:pPr>
        <w:spacing w:after="0" w:line="240" w:lineRule="auto"/>
      </w:pPr>
      <w:r>
        <w:separator/>
      </w:r>
    </w:p>
  </w:endnote>
  <w:endnote w:type="continuationSeparator" w:id="0">
    <w:p w:rsidR="008B5450" w:rsidRDefault="008B5450" w:rsidP="008B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66" w:rsidRDefault="00E85D84" w:rsidP="00537C66">
    <w:pPr>
      <w:pStyle w:val="Footer"/>
      <w:ind w:left="-806"/>
      <w:rPr>
        <w:rFonts w:ascii="Arial" w:hAnsi="Arial" w:cs="Arial"/>
        <w:i/>
        <w:iCs/>
        <w:sz w:val="16"/>
        <w:szCs w:val="16"/>
      </w:rPr>
    </w:pPr>
    <w:r w:rsidRPr="00C279DC">
      <w:rPr>
        <w:rFonts w:ascii="Arial" w:hAnsi="Arial" w:cs="Arial"/>
        <w:i/>
        <w:sz w:val="16"/>
        <w:szCs w:val="16"/>
      </w:rPr>
      <w:t>¹</w:t>
    </w:r>
    <w:r w:rsidR="00060EDE">
      <w:rPr>
        <w:rFonts w:ascii="Arial" w:hAnsi="Arial" w:cs="Arial"/>
        <w:i/>
        <w:iCs/>
        <w:sz w:val="16"/>
        <w:szCs w:val="16"/>
      </w:rPr>
      <w:t>SallieMae. How America Saves for College 2016.</w:t>
    </w:r>
    <w:r w:rsidR="00537C66" w:rsidRPr="00537C66">
      <w:rPr>
        <w:rFonts w:ascii="Arial" w:hAnsi="Arial" w:cs="Arial"/>
        <w:i/>
        <w:iCs/>
        <w:sz w:val="16"/>
        <w:szCs w:val="16"/>
      </w:rPr>
      <w:t xml:space="preserve"> </w:t>
    </w:r>
  </w:p>
  <w:p w:rsidR="00D2472D" w:rsidRDefault="00D2472D" w:rsidP="00537C66">
    <w:pPr>
      <w:pStyle w:val="Footer"/>
      <w:ind w:left="-806"/>
      <w:rPr>
        <w:rFonts w:ascii="Arial" w:hAnsi="Arial" w:cs="Arial"/>
        <w:i/>
        <w:iCs/>
        <w:sz w:val="16"/>
        <w:szCs w:val="16"/>
      </w:rPr>
    </w:pPr>
    <w:r>
      <w:rPr>
        <w:rFonts w:ascii="Arial" w:hAnsi="Arial" w:cs="Arial"/>
        <w:i/>
        <w:iCs/>
        <w:sz w:val="16"/>
        <w:szCs w:val="16"/>
      </w:rPr>
      <w:t>²U.S. Securities and Exchange Commission. An Introduction to 529 Plans.</w:t>
    </w:r>
  </w:p>
  <w:p w:rsidR="00EF00E2" w:rsidRPr="001301C1" w:rsidRDefault="00EF00E2" w:rsidP="00EF00E2">
    <w:pPr>
      <w:pStyle w:val="Footer"/>
      <w:ind w:left="-806"/>
      <w:rPr>
        <w:rFonts w:ascii="Arial" w:hAnsi="Arial" w:cs="Arial"/>
        <w:i/>
        <w:sz w:val="16"/>
        <w:szCs w:val="16"/>
      </w:rPr>
    </w:pPr>
    <w:r w:rsidRPr="001301C1">
      <w:rPr>
        <w:rFonts w:ascii="Arial" w:hAnsi="Arial" w:cs="Arial"/>
        <w:i/>
        <w:sz w:val="16"/>
        <w:szCs w:val="16"/>
      </w:rPr>
      <w:t>Investors should consider the investment objectives, risks, charges, and expenses associated with 529 plans before investing. More information about 529 plans is available in the issuer's official statement, which should be read carefully before investing. Also, before investing, consider whether your state offers a 529 plan that provides residents with favorable state tax benefits. As with other investments, there are generally fees and expenses associated with participation in a 529 savings plan. There is also the risk that the investments may lose money or not perform well enough to cove</w:t>
    </w:r>
    <w:r>
      <w:rPr>
        <w:rFonts w:ascii="Arial" w:hAnsi="Arial" w:cs="Arial"/>
        <w:i/>
        <w:sz w:val="16"/>
        <w:szCs w:val="16"/>
      </w:rPr>
      <w:t>r college costs as anticipated.</w:t>
    </w:r>
  </w:p>
  <w:p w:rsidR="00EF00E2" w:rsidRPr="00EF00E2" w:rsidRDefault="00EF00E2" w:rsidP="00EF00E2">
    <w:pPr>
      <w:pStyle w:val="Footer"/>
      <w:ind w:left="-806"/>
      <w:rPr>
        <w:rFonts w:ascii="Arial" w:hAnsi="Arial" w:cs="Arial"/>
        <w:b/>
        <w:i/>
        <w:sz w:val="16"/>
        <w:szCs w:val="16"/>
      </w:rPr>
    </w:pPr>
    <w:r w:rsidRPr="001301C1">
      <w:rPr>
        <w:rFonts w:ascii="Arial" w:hAnsi="Arial" w:cs="Arial"/>
        <w:b/>
        <w:i/>
        <w:sz w:val="16"/>
        <w:szCs w:val="16"/>
      </w:rPr>
      <w:t>Mutual funds are sold by prospectus only.  Before investing, investors should carefully consider the investment objectives, risks, charges and expenses of a mutual fund. The fund prospectus provides this and other important information. Please contact your representative or the Company to obtain a prospectus. Please read the prospectus carefully before investing or sending money.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50" w:rsidRDefault="008B5450" w:rsidP="008B5450">
      <w:pPr>
        <w:spacing w:after="0" w:line="240" w:lineRule="auto"/>
      </w:pPr>
      <w:r>
        <w:separator/>
      </w:r>
    </w:p>
  </w:footnote>
  <w:footnote w:type="continuationSeparator" w:id="0">
    <w:p w:rsidR="008B5450" w:rsidRDefault="008B5450" w:rsidP="008B5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1751"/>
    <w:multiLevelType w:val="hybridMultilevel"/>
    <w:tmpl w:val="4A727760"/>
    <w:lvl w:ilvl="0" w:tplc="3E1ADE34">
      <w:start w:val="1"/>
      <w:numFmt w:val="bullet"/>
      <w:lvlText w:val="•"/>
      <w:lvlJc w:val="left"/>
      <w:pPr>
        <w:tabs>
          <w:tab w:val="num" w:pos="720"/>
        </w:tabs>
        <w:ind w:left="720" w:hanging="360"/>
      </w:pPr>
      <w:rPr>
        <w:rFonts w:ascii="Arial" w:hAnsi="Arial" w:hint="default"/>
      </w:rPr>
    </w:lvl>
    <w:lvl w:ilvl="1" w:tplc="200CACF8" w:tentative="1">
      <w:start w:val="1"/>
      <w:numFmt w:val="bullet"/>
      <w:lvlText w:val="•"/>
      <w:lvlJc w:val="left"/>
      <w:pPr>
        <w:tabs>
          <w:tab w:val="num" w:pos="1440"/>
        </w:tabs>
        <w:ind w:left="1440" w:hanging="360"/>
      </w:pPr>
      <w:rPr>
        <w:rFonts w:ascii="Arial" w:hAnsi="Arial" w:hint="default"/>
      </w:rPr>
    </w:lvl>
    <w:lvl w:ilvl="2" w:tplc="2EFE38B8" w:tentative="1">
      <w:start w:val="1"/>
      <w:numFmt w:val="bullet"/>
      <w:lvlText w:val="•"/>
      <w:lvlJc w:val="left"/>
      <w:pPr>
        <w:tabs>
          <w:tab w:val="num" w:pos="2160"/>
        </w:tabs>
        <w:ind w:left="2160" w:hanging="360"/>
      </w:pPr>
      <w:rPr>
        <w:rFonts w:ascii="Arial" w:hAnsi="Arial" w:hint="default"/>
      </w:rPr>
    </w:lvl>
    <w:lvl w:ilvl="3" w:tplc="36943E58" w:tentative="1">
      <w:start w:val="1"/>
      <w:numFmt w:val="bullet"/>
      <w:lvlText w:val="•"/>
      <w:lvlJc w:val="left"/>
      <w:pPr>
        <w:tabs>
          <w:tab w:val="num" w:pos="2880"/>
        </w:tabs>
        <w:ind w:left="2880" w:hanging="360"/>
      </w:pPr>
      <w:rPr>
        <w:rFonts w:ascii="Arial" w:hAnsi="Arial" w:hint="default"/>
      </w:rPr>
    </w:lvl>
    <w:lvl w:ilvl="4" w:tplc="2D00A02A" w:tentative="1">
      <w:start w:val="1"/>
      <w:numFmt w:val="bullet"/>
      <w:lvlText w:val="•"/>
      <w:lvlJc w:val="left"/>
      <w:pPr>
        <w:tabs>
          <w:tab w:val="num" w:pos="3600"/>
        </w:tabs>
        <w:ind w:left="3600" w:hanging="360"/>
      </w:pPr>
      <w:rPr>
        <w:rFonts w:ascii="Arial" w:hAnsi="Arial" w:hint="default"/>
      </w:rPr>
    </w:lvl>
    <w:lvl w:ilvl="5" w:tplc="F64454F4" w:tentative="1">
      <w:start w:val="1"/>
      <w:numFmt w:val="bullet"/>
      <w:lvlText w:val="•"/>
      <w:lvlJc w:val="left"/>
      <w:pPr>
        <w:tabs>
          <w:tab w:val="num" w:pos="4320"/>
        </w:tabs>
        <w:ind w:left="4320" w:hanging="360"/>
      </w:pPr>
      <w:rPr>
        <w:rFonts w:ascii="Arial" w:hAnsi="Arial" w:hint="default"/>
      </w:rPr>
    </w:lvl>
    <w:lvl w:ilvl="6" w:tplc="7AEC1AC0" w:tentative="1">
      <w:start w:val="1"/>
      <w:numFmt w:val="bullet"/>
      <w:lvlText w:val="•"/>
      <w:lvlJc w:val="left"/>
      <w:pPr>
        <w:tabs>
          <w:tab w:val="num" w:pos="5040"/>
        </w:tabs>
        <w:ind w:left="5040" w:hanging="360"/>
      </w:pPr>
      <w:rPr>
        <w:rFonts w:ascii="Arial" w:hAnsi="Arial" w:hint="default"/>
      </w:rPr>
    </w:lvl>
    <w:lvl w:ilvl="7" w:tplc="7DEAE696" w:tentative="1">
      <w:start w:val="1"/>
      <w:numFmt w:val="bullet"/>
      <w:lvlText w:val="•"/>
      <w:lvlJc w:val="left"/>
      <w:pPr>
        <w:tabs>
          <w:tab w:val="num" w:pos="5760"/>
        </w:tabs>
        <w:ind w:left="5760" w:hanging="360"/>
      </w:pPr>
      <w:rPr>
        <w:rFonts w:ascii="Arial" w:hAnsi="Arial" w:hint="default"/>
      </w:rPr>
    </w:lvl>
    <w:lvl w:ilvl="8" w:tplc="B0F8A0B6" w:tentative="1">
      <w:start w:val="1"/>
      <w:numFmt w:val="bullet"/>
      <w:lvlText w:val="•"/>
      <w:lvlJc w:val="left"/>
      <w:pPr>
        <w:tabs>
          <w:tab w:val="num" w:pos="6480"/>
        </w:tabs>
        <w:ind w:left="6480" w:hanging="360"/>
      </w:pPr>
      <w:rPr>
        <w:rFonts w:ascii="Arial" w:hAnsi="Arial" w:hint="default"/>
      </w:rPr>
    </w:lvl>
  </w:abstractNum>
  <w:abstractNum w:abstractNumId="1">
    <w:nsid w:val="50CD13BE"/>
    <w:multiLevelType w:val="hybridMultilevel"/>
    <w:tmpl w:val="475E62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62BC00F3"/>
    <w:multiLevelType w:val="hybridMultilevel"/>
    <w:tmpl w:val="26D03D4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DC"/>
    <w:rsid w:val="00034D98"/>
    <w:rsid w:val="00060EDE"/>
    <w:rsid w:val="00072EC6"/>
    <w:rsid w:val="00073F88"/>
    <w:rsid w:val="001354CB"/>
    <w:rsid w:val="001423B8"/>
    <w:rsid w:val="00180509"/>
    <w:rsid w:val="00191C0F"/>
    <w:rsid w:val="001A72C5"/>
    <w:rsid w:val="00205020"/>
    <w:rsid w:val="0021714C"/>
    <w:rsid w:val="002178C0"/>
    <w:rsid w:val="00227E0C"/>
    <w:rsid w:val="00245533"/>
    <w:rsid w:val="00275908"/>
    <w:rsid w:val="002B7136"/>
    <w:rsid w:val="002C77C5"/>
    <w:rsid w:val="002D33EF"/>
    <w:rsid w:val="00311B26"/>
    <w:rsid w:val="00353C14"/>
    <w:rsid w:val="003733A5"/>
    <w:rsid w:val="00416843"/>
    <w:rsid w:val="0042611B"/>
    <w:rsid w:val="00445337"/>
    <w:rsid w:val="00477EAF"/>
    <w:rsid w:val="00492F0E"/>
    <w:rsid w:val="004D5ADC"/>
    <w:rsid w:val="00537C66"/>
    <w:rsid w:val="00606C44"/>
    <w:rsid w:val="00634F4C"/>
    <w:rsid w:val="00664442"/>
    <w:rsid w:val="006E15BF"/>
    <w:rsid w:val="006F02EF"/>
    <w:rsid w:val="00767896"/>
    <w:rsid w:val="007A2B67"/>
    <w:rsid w:val="00863917"/>
    <w:rsid w:val="00873BC7"/>
    <w:rsid w:val="008A745E"/>
    <w:rsid w:val="008B5450"/>
    <w:rsid w:val="008C489F"/>
    <w:rsid w:val="00927730"/>
    <w:rsid w:val="009A27B3"/>
    <w:rsid w:val="00A05F77"/>
    <w:rsid w:val="00A70578"/>
    <w:rsid w:val="00AA3801"/>
    <w:rsid w:val="00B16959"/>
    <w:rsid w:val="00B70A70"/>
    <w:rsid w:val="00BF1672"/>
    <w:rsid w:val="00C22FFD"/>
    <w:rsid w:val="00C279DC"/>
    <w:rsid w:val="00C97BF3"/>
    <w:rsid w:val="00CD3222"/>
    <w:rsid w:val="00CF0519"/>
    <w:rsid w:val="00D03DB6"/>
    <w:rsid w:val="00D2472D"/>
    <w:rsid w:val="00DD6A31"/>
    <w:rsid w:val="00DF6417"/>
    <w:rsid w:val="00E06501"/>
    <w:rsid w:val="00E550D3"/>
    <w:rsid w:val="00E82633"/>
    <w:rsid w:val="00E85D84"/>
    <w:rsid w:val="00EB5A33"/>
    <w:rsid w:val="00EF00E2"/>
    <w:rsid w:val="00F22DA6"/>
    <w:rsid w:val="00F571EA"/>
    <w:rsid w:val="00F90990"/>
    <w:rsid w:val="00FA05BB"/>
    <w:rsid w:val="00F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15278469-C3B3-4CF0-9198-931E3626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F3"/>
    <w:pPr>
      <w:ind w:left="720"/>
      <w:contextualSpacing/>
    </w:pPr>
  </w:style>
  <w:style w:type="paragraph" w:styleId="Header">
    <w:name w:val="header"/>
    <w:basedOn w:val="Normal"/>
    <w:link w:val="HeaderChar"/>
    <w:uiPriority w:val="99"/>
    <w:unhideWhenUsed/>
    <w:rsid w:val="008B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450"/>
  </w:style>
  <w:style w:type="paragraph" w:styleId="Footer">
    <w:name w:val="footer"/>
    <w:basedOn w:val="Normal"/>
    <w:link w:val="FooterChar"/>
    <w:uiPriority w:val="99"/>
    <w:unhideWhenUsed/>
    <w:rsid w:val="008B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50"/>
  </w:style>
  <w:style w:type="paragraph" w:styleId="FootnoteText">
    <w:name w:val="footnote text"/>
    <w:basedOn w:val="Normal"/>
    <w:link w:val="FootnoteTextChar"/>
    <w:uiPriority w:val="99"/>
    <w:semiHidden/>
    <w:unhideWhenUsed/>
    <w:rsid w:val="00205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020"/>
    <w:rPr>
      <w:sz w:val="20"/>
      <w:szCs w:val="20"/>
    </w:rPr>
  </w:style>
  <w:style w:type="character" w:styleId="FootnoteReference">
    <w:name w:val="footnote reference"/>
    <w:basedOn w:val="DefaultParagraphFont"/>
    <w:uiPriority w:val="99"/>
    <w:semiHidden/>
    <w:unhideWhenUsed/>
    <w:rsid w:val="00205020"/>
    <w:rPr>
      <w:vertAlign w:val="superscript"/>
    </w:rPr>
  </w:style>
  <w:style w:type="paragraph" w:styleId="EndnoteText">
    <w:name w:val="endnote text"/>
    <w:basedOn w:val="Normal"/>
    <w:link w:val="EndnoteTextChar"/>
    <w:uiPriority w:val="99"/>
    <w:semiHidden/>
    <w:unhideWhenUsed/>
    <w:rsid w:val="00E85D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D84"/>
    <w:rPr>
      <w:sz w:val="20"/>
      <w:szCs w:val="20"/>
    </w:rPr>
  </w:style>
  <w:style w:type="character" w:styleId="EndnoteReference">
    <w:name w:val="endnote reference"/>
    <w:basedOn w:val="DefaultParagraphFont"/>
    <w:uiPriority w:val="99"/>
    <w:semiHidden/>
    <w:unhideWhenUsed/>
    <w:rsid w:val="00E85D84"/>
    <w:rPr>
      <w:vertAlign w:val="superscript"/>
    </w:rPr>
  </w:style>
  <w:style w:type="paragraph" w:styleId="NormalWeb">
    <w:name w:val="Normal (Web)"/>
    <w:basedOn w:val="Normal"/>
    <w:uiPriority w:val="99"/>
    <w:semiHidden/>
    <w:unhideWhenUsed/>
    <w:rsid w:val="00537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9083">
      <w:bodyDiv w:val="1"/>
      <w:marLeft w:val="0"/>
      <w:marRight w:val="0"/>
      <w:marTop w:val="0"/>
      <w:marBottom w:val="0"/>
      <w:divBdr>
        <w:top w:val="none" w:sz="0" w:space="0" w:color="auto"/>
        <w:left w:val="none" w:sz="0" w:space="0" w:color="auto"/>
        <w:bottom w:val="none" w:sz="0" w:space="0" w:color="auto"/>
        <w:right w:val="none" w:sz="0" w:space="0" w:color="auto"/>
      </w:divBdr>
    </w:div>
    <w:div w:id="194773434">
      <w:bodyDiv w:val="1"/>
      <w:marLeft w:val="0"/>
      <w:marRight w:val="0"/>
      <w:marTop w:val="0"/>
      <w:marBottom w:val="0"/>
      <w:divBdr>
        <w:top w:val="none" w:sz="0" w:space="0" w:color="auto"/>
        <w:left w:val="none" w:sz="0" w:space="0" w:color="auto"/>
        <w:bottom w:val="none" w:sz="0" w:space="0" w:color="auto"/>
        <w:right w:val="none" w:sz="0" w:space="0" w:color="auto"/>
      </w:divBdr>
    </w:div>
    <w:div w:id="313921846">
      <w:bodyDiv w:val="1"/>
      <w:marLeft w:val="0"/>
      <w:marRight w:val="0"/>
      <w:marTop w:val="0"/>
      <w:marBottom w:val="0"/>
      <w:divBdr>
        <w:top w:val="none" w:sz="0" w:space="0" w:color="auto"/>
        <w:left w:val="none" w:sz="0" w:space="0" w:color="auto"/>
        <w:bottom w:val="none" w:sz="0" w:space="0" w:color="auto"/>
        <w:right w:val="none" w:sz="0" w:space="0" w:color="auto"/>
      </w:divBdr>
    </w:div>
    <w:div w:id="711729827">
      <w:bodyDiv w:val="1"/>
      <w:marLeft w:val="0"/>
      <w:marRight w:val="0"/>
      <w:marTop w:val="0"/>
      <w:marBottom w:val="0"/>
      <w:divBdr>
        <w:top w:val="none" w:sz="0" w:space="0" w:color="auto"/>
        <w:left w:val="none" w:sz="0" w:space="0" w:color="auto"/>
        <w:bottom w:val="none" w:sz="0" w:space="0" w:color="auto"/>
        <w:right w:val="none" w:sz="0" w:space="0" w:color="auto"/>
      </w:divBdr>
    </w:div>
    <w:div w:id="780417681">
      <w:bodyDiv w:val="1"/>
      <w:marLeft w:val="0"/>
      <w:marRight w:val="0"/>
      <w:marTop w:val="0"/>
      <w:marBottom w:val="0"/>
      <w:divBdr>
        <w:top w:val="none" w:sz="0" w:space="0" w:color="auto"/>
        <w:left w:val="none" w:sz="0" w:space="0" w:color="auto"/>
        <w:bottom w:val="none" w:sz="0" w:space="0" w:color="auto"/>
        <w:right w:val="none" w:sz="0" w:space="0" w:color="auto"/>
      </w:divBdr>
    </w:div>
    <w:div w:id="1203177624">
      <w:bodyDiv w:val="1"/>
      <w:marLeft w:val="0"/>
      <w:marRight w:val="0"/>
      <w:marTop w:val="0"/>
      <w:marBottom w:val="0"/>
      <w:divBdr>
        <w:top w:val="none" w:sz="0" w:space="0" w:color="auto"/>
        <w:left w:val="none" w:sz="0" w:space="0" w:color="auto"/>
        <w:bottom w:val="none" w:sz="0" w:space="0" w:color="auto"/>
        <w:right w:val="none" w:sz="0" w:space="0" w:color="auto"/>
      </w:divBdr>
      <w:divsChild>
        <w:div w:id="636765928">
          <w:marLeft w:val="360"/>
          <w:marRight w:val="0"/>
          <w:marTop w:val="0"/>
          <w:marBottom w:val="120"/>
          <w:divBdr>
            <w:top w:val="none" w:sz="0" w:space="0" w:color="auto"/>
            <w:left w:val="none" w:sz="0" w:space="0" w:color="auto"/>
            <w:bottom w:val="none" w:sz="0" w:space="0" w:color="auto"/>
            <w:right w:val="none" w:sz="0" w:space="0" w:color="auto"/>
          </w:divBdr>
        </w:div>
        <w:div w:id="1962492481">
          <w:marLeft w:val="360"/>
          <w:marRight w:val="0"/>
          <w:marTop w:val="120"/>
          <w:marBottom w:val="120"/>
          <w:divBdr>
            <w:top w:val="none" w:sz="0" w:space="0" w:color="auto"/>
            <w:left w:val="none" w:sz="0" w:space="0" w:color="auto"/>
            <w:bottom w:val="none" w:sz="0" w:space="0" w:color="auto"/>
            <w:right w:val="none" w:sz="0" w:space="0" w:color="auto"/>
          </w:divBdr>
        </w:div>
        <w:div w:id="960771395">
          <w:marLeft w:val="360"/>
          <w:marRight w:val="0"/>
          <w:marTop w:val="0"/>
          <w:marBottom w:val="120"/>
          <w:divBdr>
            <w:top w:val="none" w:sz="0" w:space="0" w:color="auto"/>
            <w:left w:val="none" w:sz="0" w:space="0" w:color="auto"/>
            <w:bottom w:val="none" w:sz="0" w:space="0" w:color="auto"/>
            <w:right w:val="none" w:sz="0" w:space="0" w:color="auto"/>
          </w:divBdr>
        </w:div>
        <w:div w:id="2117286125">
          <w:marLeft w:val="360"/>
          <w:marRight w:val="0"/>
          <w:marTop w:val="0"/>
          <w:marBottom w:val="120"/>
          <w:divBdr>
            <w:top w:val="none" w:sz="0" w:space="0" w:color="auto"/>
            <w:left w:val="none" w:sz="0" w:space="0" w:color="auto"/>
            <w:bottom w:val="none" w:sz="0" w:space="0" w:color="auto"/>
            <w:right w:val="none" w:sz="0" w:space="0" w:color="auto"/>
          </w:divBdr>
        </w:div>
        <w:div w:id="693270081">
          <w:marLeft w:val="360"/>
          <w:marRight w:val="0"/>
          <w:marTop w:val="0"/>
          <w:marBottom w:val="120"/>
          <w:divBdr>
            <w:top w:val="none" w:sz="0" w:space="0" w:color="auto"/>
            <w:left w:val="none" w:sz="0" w:space="0" w:color="auto"/>
            <w:bottom w:val="none" w:sz="0" w:space="0" w:color="auto"/>
            <w:right w:val="none" w:sz="0" w:space="0" w:color="auto"/>
          </w:divBdr>
        </w:div>
        <w:div w:id="242952803">
          <w:marLeft w:val="360"/>
          <w:marRight w:val="0"/>
          <w:marTop w:val="0"/>
          <w:marBottom w:val="120"/>
          <w:divBdr>
            <w:top w:val="none" w:sz="0" w:space="0" w:color="auto"/>
            <w:left w:val="none" w:sz="0" w:space="0" w:color="auto"/>
            <w:bottom w:val="none" w:sz="0" w:space="0" w:color="auto"/>
            <w:right w:val="none" w:sz="0" w:space="0" w:color="auto"/>
          </w:divBdr>
        </w:div>
        <w:div w:id="359091244">
          <w:marLeft w:val="360"/>
          <w:marRight w:val="0"/>
          <w:marTop w:val="0"/>
          <w:marBottom w:val="120"/>
          <w:divBdr>
            <w:top w:val="none" w:sz="0" w:space="0" w:color="auto"/>
            <w:left w:val="none" w:sz="0" w:space="0" w:color="auto"/>
            <w:bottom w:val="none" w:sz="0" w:space="0" w:color="auto"/>
            <w:right w:val="none" w:sz="0" w:space="0" w:color="auto"/>
          </w:divBdr>
        </w:div>
      </w:divsChild>
    </w:div>
    <w:div w:id="20795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tirementconsulting@gatewayadvisory.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8A79-3DC4-45F3-A45A-B4607D28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Schiavo, Michelle</dc:creator>
  <cp:keywords/>
  <dc:description/>
  <cp:lastModifiedBy>Donna Renson</cp:lastModifiedBy>
  <cp:revision>2</cp:revision>
  <cp:lastPrinted>2017-08-31T23:11:00Z</cp:lastPrinted>
  <dcterms:created xsi:type="dcterms:W3CDTF">2017-10-09T15:20:00Z</dcterms:created>
  <dcterms:modified xsi:type="dcterms:W3CDTF">2017-10-09T15:20:00Z</dcterms:modified>
</cp:coreProperties>
</file>