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07" w:rsidRPr="007634B6" w:rsidRDefault="00463407" w:rsidP="0016530C">
      <w:pPr>
        <w:spacing w:after="0" w:line="240" w:lineRule="auto"/>
        <w:jc w:val="center"/>
        <w:rPr>
          <w:rFonts w:ascii="Arial" w:hAnsi="Arial" w:cs="Arial"/>
          <w:b/>
          <w:color w:val="4472C4" w:themeColor="accent5"/>
          <w:sz w:val="32"/>
          <w:szCs w:val="32"/>
        </w:rPr>
      </w:pPr>
      <w:r w:rsidRPr="007634B6">
        <w:rPr>
          <w:rFonts w:ascii="Arial" w:hAnsi="Arial" w:cs="Arial"/>
          <w:b/>
          <w:color w:val="4472C4" w:themeColor="accent5"/>
          <w:sz w:val="32"/>
          <w:szCs w:val="32"/>
        </w:rPr>
        <w:t>The 10% Savings Goal</w:t>
      </w:r>
    </w:p>
    <w:p w:rsidR="00463407" w:rsidRDefault="00463407" w:rsidP="0016530C">
      <w:pPr>
        <w:spacing w:after="0" w:line="240" w:lineRule="auto"/>
        <w:rPr>
          <w:rFonts w:ascii="Arial" w:hAnsi="Arial" w:cs="Arial"/>
        </w:rPr>
      </w:pPr>
    </w:p>
    <w:p w:rsidR="004772D2" w:rsidRPr="00684505" w:rsidRDefault="00F2704C" w:rsidP="00684505">
      <w:pPr>
        <w:spacing w:after="120" w:line="240" w:lineRule="auto"/>
        <w:ind w:left="-450" w:right="-720"/>
        <w:rPr>
          <w:rFonts w:ascii="Arial" w:hAnsi="Arial" w:cs="Arial"/>
          <w:szCs w:val="20"/>
        </w:rPr>
      </w:pPr>
      <w:r w:rsidRPr="00F2704C">
        <w:rPr>
          <w:rFonts w:ascii="Arial" w:hAnsi="Arial" w:cs="Arial"/>
          <w:szCs w:val="20"/>
        </w:rPr>
        <w:t>M</w:t>
      </w:r>
      <w:r w:rsidR="00650637" w:rsidRPr="00F2704C">
        <w:rPr>
          <w:rFonts w:ascii="Arial" w:hAnsi="Arial" w:cs="Arial"/>
          <w:szCs w:val="20"/>
        </w:rPr>
        <w:t xml:space="preserve">ost people </w:t>
      </w:r>
      <w:r w:rsidR="004772D2" w:rsidRPr="00F2704C">
        <w:rPr>
          <w:rFonts w:ascii="Arial" w:hAnsi="Arial" w:cs="Arial"/>
          <w:szCs w:val="20"/>
        </w:rPr>
        <w:t>need to save more — often a lot more — to build a nest egg that can meet their needs. Many financial experts recommend putting away 10 to 15 perc</w:t>
      </w:r>
      <w:r w:rsidR="00C77FD4" w:rsidRPr="00F2704C">
        <w:rPr>
          <w:rFonts w:ascii="Arial" w:hAnsi="Arial" w:cs="Arial"/>
          <w:szCs w:val="20"/>
        </w:rPr>
        <w:t>ent of your pay for retirement.</w:t>
      </w:r>
      <w:r w:rsidR="004772D2" w:rsidRPr="00F2704C">
        <w:rPr>
          <w:rFonts w:ascii="Arial" w:hAnsi="Arial" w:cs="Arial"/>
          <w:szCs w:val="20"/>
        </w:rPr>
        <w:t xml:space="preserve"> There’s a relatively painless way to reach </w:t>
      </w:r>
      <w:r>
        <w:rPr>
          <w:rFonts w:ascii="Arial" w:hAnsi="Arial" w:cs="Arial"/>
          <w:szCs w:val="20"/>
        </w:rPr>
        <w:t>that</w:t>
      </w:r>
      <w:r w:rsidR="004772D2" w:rsidRPr="00F2704C">
        <w:rPr>
          <w:rFonts w:ascii="Arial" w:hAnsi="Arial" w:cs="Arial"/>
          <w:szCs w:val="20"/>
        </w:rPr>
        <w:t xml:space="preserve"> goa</w:t>
      </w:r>
      <w:r w:rsidRPr="00F2704C">
        <w:rPr>
          <w:rFonts w:ascii="Arial" w:hAnsi="Arial" w:cs="Arial"/>
          <w:szCs w:val="20"/>
        </w:rPr>
        <w:t>l.</w:t>
      </w:r>
    </w:p>
    <w:p w:rsidR="004772D2" w:rsidRPr="00684505" w:rsidRDefault="004772D2" w:rsidP="00684505">
      <w:pPr>
        <w:spacing w:after="120" w:line="240" w:lineRule="auto"/>
        <w:ind w:left="-450"/>
        <w:rPr>
          <w:rFonts w:ascii="Arial" w:hAnsi="Arial" w:cs="Arial"/>
          <w:b/>
          <w:color w:val="4472C4" w:themeColor="accent5"/>
          <w:sz w:val="24"/>
          <w:szCs w:val="24"/>
        </w:rPr>
      </w:pPr>
      <w:r w:rsidRPr="0016530C">
        <w:rPr>
          <w:rFonts w:ascii="Arial" w:hAnsi="Arial" w:cs="Arial"/>
          <w:b/>
          <w:color w:val="4472C4" w:themeColor="accent5"/>
          <w:sz w:val="24"/>
          <w:szCs w:val="24"/>
        </w:rPr>
        <w:t>Take small steps</w:t>
      </w:r>
    </w:p>
    <w:p w:rsidR="00C77FD4" w:rsidRDefault="004772D2" w:rsidP="00684505">
      <w:pPr>
        <w:pStyle w:val="ListParagraph"/>
        <w:numPr>
          <w:ilvl w:val="0"/>
          <w:numId w:val="1"/>
        </w:numPr>
        <w:spacing w:after="120" w:line="240" w:lineRule="auto"/>
        <w:ind w:left="180" w:right="-630" w:hanging="270"/>
        <w:rPr>
          <w:rFonts w:ascii="Arial" w:hAnsi="Arial" w:cs="Arial"/>
        </w:rPr>
      </w:pPr>
      <w:r w:rsidRPr="00C77FD4">
        <w:rPr>
          <w:rFonts w:ascii="Arial" w:hAnsi="Arial" w:cs="Arial"/>
        </w:rPr>
        <w:t>Begin by contributing enough to receive your employer</w:t>
      </w:r>
      <w:r w:rsidR="00F2704C">
        <w:rPr>
          <w:rFonts w:ascii="Arial" w:hAnsi="Arial" w:cs="Arial"/>
        </w:rPr>
        <w:t>’s matching contribution</w:t>
      </w:r>
      <w:r w:rsidRPr="00C77FD4">
        <w:rPr>
          <w:rFonts w:ascii="Arial" w:hAnsi="Arial" w:cs="Arial"/>
        </w:rPr>
        <w:t xml:space="preserve"> </w:t>
      </w:r>
    </w:p>
    <w:p w:rsidR="00C77FD4" w:rsidRDefault="005C78C0" w:rsidP="00684505">
      <w:pPr>
        <w:pStyle w:val="ListParagraph"/>
        <w:numPr>
          <w:ilvl w:val="0"/>
          <w:numId w:val="1"/>
        </w:numPr>
        <w:spacing w:after="120" w:line="240" w:lineRule="auto"/>
        <w:ind w:left="180" w:right="-630" w:hanging="270"/>
        <w:rPr>
          <w:rFonts w:ascii="Arial" w:hAnsi="Arial" w:cs="Arial"/>
        </w:rPr>
      </w:pPr>
      <w:r>
        <w:rPr>
          <w:rFonts w:ascii="Arial" w:hAnsi="Arial" w:cs="Arial"/>
        </w:rPr>
        <w:t>Consider</w:t>
      </w:r>
      <w:r w:rsidR="004772D2" w:rsidRPr="00C77FD4">
        <w:rPr>
          <w:rFonts w:ascii="Arial" w:hAnsi="Arial" w:cs="Arial"/>
        </w:rPr>
        <w:t xml:space="preserve"> gradually raising your contribution</w:t>
      </w:r>
      <w:r>
        <w:rPr>
          <w:rFonts w:ascii="Arial" w:hAnsi="Arial" w:cs="Arial"/>
        </w:rPr>
        <w:t xml:space="preserve"> amount to 10 percent or higher</w:t>
      </w:r>
      <w:r w:rsidR="004772D2" w:rsidRPr="00C77FD4">
        <w:rPr>
          <w:rFonts w:ascii="Arial" w:hAnsi="Arial" w:cs="Arial"/>
        </w:rPr>
        <w:t xml:space="preserve"> </w:t>
      </w:r>
    </w:p>
    <w:p w:rsidR="004772D2" w:rsidRPr="00684505" w:rsidRDefault="00F2704C" w:rsidP="00684505">
      <w:pPr>
        <w:pStyle w:val="ListParagraph"/>
        <w:numPr>
          <w:ilvl w:val="0"/>
          <w:numId w:val="1"/>
        </w:numPr>
        <w:spacing w:after="120" w:line="240" w:lineRule="auto"/>
        <w:ind w:left="180" w:right="-630" w:hanging="270"/>
        <w:rPr>
          <w:rFonts w:ascii="Arial" w:hAnsi="Arial" w:cs="Arial"/>
        </w:rPr>
      </w:pPr>
      <w:r>
        <w:rPr>
          <w:rFonts w:ascii="Arial" w:hAnsi="Arial" w:cs="Arial"/>
        </w:rPr>
        <w:t>R</w:t>
      </w:r>
      <w:r w:rsidR="004772D2" w:rsidRPr="00C77FD4">
        <w:rPr>
          <w:rFonts w:ascii="Arial" w:hAnsi="Arial" w:cs="Arial"/>
        </w:rPr>
        <w:t>ai</w:t>
      </w:r>
      <w:r>
        <w:rPr>
          <w:rFonts w:ascii="Arial" w:hAnsi="Arial" w:cs="Arial"/>
        </w:rPr>
        <w:t>se</w:t>
      </w:r>
      <w:r w:rsidR="004772D2" w:rsidRPr="00C77FD4">
        <w:rPr>
          <w:rFonts w:ascii="Arial" w:hAnsi="Arial" w:cs="Arial"/>
        </w:rPr>
        <w:t xml:space="preserve"> your plan contributions once a year by an amount that’s easy to handle, on a date that’s easy to remember—say, 2 percent on your birthday. Thanks to the power of compounding (the earnings on your earnings), even small, regular increases in your plan contributions can make a big difference over time.</w:t>
      </w:r>
    </w:p>
    <w:p w:rsidR="004772D2" w:rsidRPr="00684505" w:rsidRDefault="004772D2" w:rsidP="00684505">
      <w:pPr>
        <w:spacing w:after="120" w:line="240" w:lineRule="auto"/>
        <w:ind w:left="-450"/>
        <w:rPr>
          <w:rFonts w:ascii="Arial" w:hAnsi="Arial" w:cs="Arial"/>
          <w:b/>
          <w:color w:val="4472C4" w:themeColor="accent5"/>
          <w:sz w:val="24"/>
        </w:rPr>
      </w:pPr>
      <w:r w:rsidRPr="0016530C">
        <w:rPr>
          <w:rFonts w:ascii="Arial" w:hAnsi="Arial" w:cs="Arial"/>
          <w:b/>
          <w:color w:val="4472C4" w:themeColor="accent5"/>
          <w:sz w:val="24"/>
        </w:rPr>
        <w:t>A little more can mean a lot</w:t>
      </w:r>
    </w:p>
    <w:p w:rsidR="004772D2" w:rsidRDefault="004772D2" w:rsidP="00684505">
      <w:pPr>
        <w:spacing w:after="120" w:line="240" w:lineRule="auto"/>
        <w:ind w:left="-450" w:right="-540"/>
        <w:rPr>
          <w:rFonts w:ascii="Arial" w:hAnsi="Arial" w:cs="Arial"/>
        </w:rPr>
      </w:pPr>
      <w:r>
        <w:rPr>
          <w:rFonts w:ascii="Arial" w:hAnsi="Arial" w:cs="Arial"/>
        </w:rPr>
        <w:t>Let’s look at Minnie and Maxine. These hypothetical twin sisters do almost everything together. Both work for the same company</w:t>
      </w:r>
      <w:r w:rsidR="00C77FD4">
        <w:rPr>
          <w:rFonts w:ascii="Arial" w:hAnsi="Arial" w:cs="Arial"/>
        </w:rPr>
        <w:t xml:space="preserve">, earn the same salary ($30,000 a year), and start participating in the same retirement plan at age 35. In fact, just about the only difference is their savings approach: </w:t>
      </w:r>
    </w:p>
    <w:p w:rsidR="0046010C" w:rsidRDefault="0046010C" w:rsidP="00684505">
      <w:pPr>
        <w:spacing w:after="120" w:line="240" w:lineRule="auto"/>
        <w:rPr>
          <w:rFonts w:ascii="Arial" w:hAnsi="Arial" w:cs="Arial"/>
        </w:rPr>
      </w:pPr>
    </w:p>
    <w:p w:rsidR="0046010C" w:rsidRDefault="00684505" w:rsidP="00684505">
      <w:pPr>
        <w:spacing w:after="12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AAADEFB" wp14:editId="283900A0">
                <wp:simplePos x="0" y="0"/>
                <wp:positionH relativeFrom="column">
                  <wp:posOffset>4676775</wp:posOffset>
                </wp:positionH>
                <wp:positionV relativeFrom="paragraph">
                  <wp:posOffset>2300605</wp:posOffset>
                </wp:positionV>
                <wp:extent cx="1543050"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4B6" w:rsidRPr="00684505" w:rsidRDefault="007634B6" w:rsidP="007634B6">
                            <w:pPr>
                              <w:rPr>
                                <w:rFonts w:ascii="Lucida Handwriting" w:hAnsi="Lucida Handwriting"/>
                                <w:b/>
                                <w:color w:val="ED7D31" w:themeColor="accent2"/>
                                <w:sz w:val="24"/>
                                <w:szCs w:val="24"/>
                              </w:rPr>
                            </w:pPr>
                            <w:r w:rsidRPr="00684505">
                              <w:rPr>
                                <w:rFonts w:ascii="Lucida Handwriting" w:hAnsi="Lucida Handwriting"/>
                                <w:b/>
                                <w:color w:val="ED7D31" w:themeColor="accent2"/>
                                <w:sz w:val="24"/>
                                <w:szCs w:val="24"/>
                              </w:rPr>
                              <w:t>Maxine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AAADEFB" id="_x0000_t202" coordsize="21600,21600" o:spt="202" path="m,l,21600r21600,l21600,xe">
                <v:stroke joinstyle="miter"/>
                <v:path gradientshapeok="t" o:connecttype="rect"/>
              </v:shapetype>
              <v:shape id="Text Box 4" o:spid="_x0000_s1026" type="#_x0000_t202" style="position:absolute;left:0;text-align:left;margin-left:368.25pt;margin-top:181.15pt;width:121.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mfAIAAGk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" filled="f" stroked="f" strokeweight=".5pt">
                <v:textbox>
                  <w:txbxContent>
                    <w:p w:rsidR="007634B6" w:rsidRPr="00684505" w:rsidRDefault="007634B6" w:rsidP="007634B6">
                      <w:pPr>
                        <w:rPr>
                          <w:rFonts w:ascii="Lucida Handwriting" w:hAnsi="Lucida Handwriting"/>
                          <w:b/>
                          <w:color w:val="ED7D31" w:themeColor="accent2"/>
                          <w:sz w:val="24"/>
                          <w:szCs w:val="24"/>
                        </w:rPr>
                      </w:pPr>
                      <w:r w:rsidRPr="00684505">
                        <w:rPr>
                          <w:rFonts w:ascii="Lucida Handwriting" w:hAnsi="Lucida Handwriting"/>
                          <w:b/>
                          <w:color w:val="ED7D31" w:themeColor="accent2"/>
                          <w:sz w:val="24"/>
                          <w:szCs w:val="24"/>
                        </w:rPr>
                        <w:t>Maxine</w:t>
                      </w:r>
                    </w:p>
                  </w:txbxContent>
                </v:textbox>
              </v:shape>
            </w:pict>
          </mc:Fallback>
        </mc:AlternateContent>
      </w:r>
      <w:bookmarkStart w:id="0" w:name="_GoBack"/>
      <w:r>
        <w:rPr>
          <w:rFonts w:ascii="Arial" w:hAnsi="Arial" w:cs="Arial"/>
          <w:noProof/>
        </w:rPr>
        <w:drawing>
          <wp:anchor distT="0" distB="0" distL="114300" distR="114300" simplePos="0" relativeHeight="251658240" behindDoc="0" locked="0" layoutInCell="1" allowOverlap="1" wp14:anchorId="4D1BCA07" wp14:editId="3E223CCE">
            <wp:simplePos x="0" y="0"/>
            <wp:positionH relativeFrom="margin">
              <wp:align>center</wp:align>
            </wp:positionH>
            <wp:positionV relativeFrom="paragraph">
              <wp:posOffset>487045</wp:posOffset>
            </wp:positionV>
            <wp:extent cx="2638425" cy="227520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bookmarkEnd w:id="0"/>
      <w:r w:rsidR="00BA25A2">
        <w:rPr>
          <w:rFonts w:ascii="Arial" w:hAnsi="Arial" w:cs="Arial"/>
          <w:noProof/>
        </w:rPr>
        <mc:AlternateContent>
          <mc:Choice Requires="wps">
            <w:drawing>
              <wp:anchor distT="0" distB="0" distL="114300" distR="114300" simplePos="0" relativeHeight="251659264" behindDoc="0" locked="0" layoutInCell="1" allowOverlap="1" wp14:anchorId="20118F5D" wp14:editId="5CB5B0EF">
                <wp:simplePos x="0" y="0"/>
                <wp:positionH relativeFrom="column">
                  <wp:posOffset>190500</wp:posOffset>
                </wp:positionH>
                <wp:positionV relativeFrom="paragraph">
                  <wp:posOffset>10795</wp:posOffset>
                </wp:positionV>
                <wp:extent cx="15430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4B6" w:rsidRPr="00684505" w:rsidRDefault="007634B6">
                            <w:pPr>
                              <w:rPr>
                                <w:rFonts w:ascii="Lucida Handwriting" w:hAnsi="Lucida Handwriting"/>
                                <w:b/>
                                <w:color w:val="4472C4" w:themeColor="accent5"/>
                                <w:sz w:val="24"/>
                              </w:rPr>
                            </w:pPr>
                            <w:r w:rsidRPr="00684505">
                              <w:rPr>
                                <w:rFonts w:ascii="Lucida Handwriting" w:hAnsi="Lucida Handwriting"/>
                                <w:b/>
                                <w:color w:val="4472C4" w:themeColor="accent5"/>
                                <w:sz w:val="24"/>
                              </w:rPr>
                              <w:t>Minnie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0118F5D" id="Text Box 3" o:spid="_x0000_s1027" type="#_x0000_t202" style="position:absolute;left:0;text-align:left;margin-left:15pt;margin-top:.85pt;width:12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" filled="f" stroked="f" strokeweight=".5pt">
                <v:textbox>
                  <w:txbxContent>
                    <w:p w:rsidR="007634B6" w:rsidRPr="00684505" w:rsidRDefault="007634B6">
                      <w:pPr>
                        <w:rPr>
                          <w:rFonts w:ascii="Lucida Handwriting" w:hAnsi="Lucida Handwriting"/>
                          <w:b/>
                          <w:color w:val="4472C4" w:themeColor="accent5"/>
                          <w:sz w:val="24"/>
                        </w:rPr>
                      </w:pPr>
                      <w:r w:rsidRPr="00684505">
                        <w:rPr>
                          <w:rFonts w:ascii="Lucida Handwriting" w:hAnsi="Lucida Handwriting"/>
                          <w:b/>
                          <w:color w:val="4472C4" w:themeColor="accent5"/>
                          <w:sz w:val="24"/>
                        </w:rPr>
                        <w:t>Minnie</w:t>
                      </w:r>
                    </w:p>
                  </w:txbxContent>
                </v:textbox>
              </v:shape>
            </w:pict>
          </mc:Fallback>
        </mc:AlternateContent>
      </w:r>
      <w:r w:rsidR="0046010C">
        <w:rPr>
          <w:rFonts w:ascii="Arial" w:hAnsi="Arial" w:cs="Arial"/>
          <w:noProof/>
        </w:rPr>
        <w:drawing>
          <wp:inline distT="0" distB="0" distL="0" distR="0" wp14:anchorId="20ABB6C3" wp14:editId="768F1BB2">
            <wp:extent cx="5800090" cy="27608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s With Sign.jpg"/>
                    <pic:cNvPicPr/>
                  </pic:nvPicPr>
                  <pic:blipFill rotWithShape="1">
                    <a:blip r:embed="rId9" cstate="print">
                      <a:extLst>
                        <a:ext uri="{28A0092B-C50C-407E-A947-70E740481C1C}">
                          <a14:useLocalDpi xmlns:a14="http://schemas.microsoft.com/office/drawing/2010/main" val="0"/>
                        </a:ext>
                      </a:extLst>
                    </a:blip>
                    <a:srcRect t="245" b="28433"/>
                    <a:stretch/>
                  </pic:blipFill>
                  <pic:spPr bwMode="auto">
                    <a:xfrm>
                      <a:off x="0" y="0"/>
                      <a:ext cx="5830130" cy="2775170"/>
                    </a:xfrm>
                    <a:prstGeom prst="rect">
                      <a:avLst/>
                    </a:prstGeom>
                    <a:ln>
                      <a:noFill/>
                    </a:ln>
                    <a:extLst>
                      <a:ext uri="{53640926-AAD7-44D8-BBD7-CCE9431645EC}">
                        <a14:shadowObscured xmlns:a14="http://schemas.microsoft.com/office/drawing/2010/main"/>
                      </a:ext>
                    </a:extLst>
                  </pic:spPr>
                </pic:pic>
              </a:graphicData>
            </a:graphic>
          </wp:inline>
        </w:drawing>
      </w:r>
    </w:p>
    <w:p w:rsidR="0046010C" w:rsidRDefault="0046010C" w:rsidP="00684505">
      <w:pPr>
        <w:spacing w:after="120" w:line="240" w:lineRule="auto"/>
        <w:rPr>
          <w:rFonts w:ascii="Arial" w:hAnsi="Arial" w:cs="Arial"/>
        </w:rPr>
      </w:pPr>
    </w:p>
    <w:p w:rsidR="007634B6" w:rsidRDefault="00C77FD4" w:rsidP="00684505">
      <w:pPr>
        <w:spacing w:after="120" w:line="240" w:lineRule="auto"/>
        <w:ind w:left="-450" w:right="-630"/>
        <w:rPr>
          <w:rFonts w:ascii="Arial" w:hAnsi="Arial" w:cs="Arial"/>
        </w:rPr>
      </w:pPr>
      <w:r w:rsidRPr="0016530C">
        <w:rPr>
          <w:rFonts w:ascii="Arial" w:hAnsi="Arial" w:cs="Arial"/>
          <w:b/>
          <w:color w:val="5B9BD5" w:themeColor="accent1"/>
        </w:rPr>
        <w:t>Minnie</w:t>
      </w:r>
      <w:r>
        <w:rPr>
          <w:rFonts w:ascii="Arial" w:hAnsi="Arial" w:cs="Arial"/>
        </w:rPr>
        <w:t xml:space="preserve"> contributes 2 percent of her pay each year. Her salary rises 3 percent a year (and her contributions along with it), and her investments earn 6 percent a year on average. So, after 30 years of diligent saving, Minnie</w:t>
      </w:r>
      <w:r w:rsidR="00A52EE1">
        <w:rPr>
          <w:rFonts w:ascii="Arial" w:hAnsi="Arial" w:cs="Arial"/>
        </w:rPr>
        <w:t xml:space="preserve"> will reach</w:t>
      </w:r>
      <w:r>
        <w:rPr>
          <w:rFonts w:ascii="Arial" w:hAnsi="Arial" w:cs="Arial"/>
        </w:rPr>
        <w:t xml:space="preserve"> retirement with a nest egg worth </w:t>
      </w:r>
      <w:r w:rsidRPr="0016530C">
        <w:rPr>
          <w:rFonts w:ascii="Arial" w:hAnsi="Arial" w:cs="Arial"/>
          <w:b/>
          <w:color w:val="5B9BD5" w:themeColor="accent1"/>
        </w:rPr>
        <w:t>$68,461</w:t>
      </w:r>
      <w:r>
        <w:rPr>
          <w:rFonts w:ascii="Arial" w:hAnsi="Arial" w:cs="Arial"/>
        </w:rPr>
        <w:t>.</w:t>
      </w:r>
    </w:p>
    <w:p w:rsidR="004B7CF1" w:rsidRDefault="007634B6" w:rsidP="00684505">
      <w:pPr>
        <w:spacing w:after="120" w:line="240" w:lineRule="auto"/>
        <w:ind w:left="-450" w:right="-630"/>
        <w:rPr>
          <w:rFonts w:ascii="Arial" w:hAnsi="Arial" w:cs="Arial"/>
        </w:rPr>
      </w:pPr>
      <w:r w:rsidRPr="00A52EE1">
        <w:rPr>
          <w:rFonts w:ascii="Arial" w:hAnsi="Arial" w:cs="Arial"/>
          <w:b/>
          <w:color w:val="ED7D31" w:themeColor="accent2"/>
        </w:rPr>
        <w:t>Maxine</w:t>
      </w:r>
      <w:r>
        <w:rPr>
          <w:rFonts w:ascii="Arial" w:hAnsi="Arial" w:cs="Arial"/>
        </w:rPr>
        <w:t xml:space="preserve"> gets the same pay raises, saves just as diligently, and has the same </w:t>
      </w:r>
      <w:r w:rsidR="004B7CF1">
        <w:rPr>
          <w:rFonts w:ascii="Arial" w:hAnsi="Arial" w:cs="Arial"/>
        </w:rPr>
        <w:t xml:space="preserve">investments as her sister—except for one thing: She starts contributing 2 percent, but raises her rate by 1 percent each year on her birthday until she reaches 10 percent. </w:t>
      </w:r>
      <w:r w:rsidR="00A52EE1">
        <w:rPr>
          <w:rFonts w:ascii="Arial" w:hAnsi="Arial" w:cs="Arial"/>
        </w:rPr>
        <w:t>S</w:t>
      </w:r>
      <w:r w:rsidR="004B7CF1">
        <w:rPr>
          <w:rFonts w:ascii="Arial" w:hAnsi="Arial" w:cs="Arial"/>
        </w:rPr>
        <w:t>he</w:t>
      </w:r>
      <w:r w:rsidR="00A52EE1">
        <w:rPr>
          <w:rFonts w:ascii="Arial" w:hAnsi="Arial" w:cs="Arial"/>
        </w:rPr>
        <w:t xml:space="preserve"> will keep</w:t>
      </w:r>
      <w:r w:rsidR="004B7CF1">
        <w:rPr>
          <w:rFonts w:ascii="Arial" w:hAnsi="Arial" w:cs="Arial"/>
        </w:rPr>
        <w:t xml:space="preserve"> saving that 10 percent for the next 22 years, until she retires by Minnie’s side.</w:t>
      </w:r>
    </w:p>
    <w:p w:rsidR="00BA25A2" w:rsidRDefault="004B7CF1" w:rsidP="00684505">
      <w:pPr>
        <w:spacing w:after="120" w:line="240" w:lineRule="auto"/>
        <w:ind w:left="-450" w:right="-630"/>
        <w:rPr>
          <w:rFonts w:ascii="Arial" w:hAnsi="Arial" w:cs="Arial"/>
        </w:rPr>
      </w:pPr>
      <w:r>
        <w:rPr>
          <w:rFonts w:ascii="Arial" w:hAnsi="Arial" w:cs="Arial"/>
        </w:rPr>
        <w:t>Maxine tells Minnie that she</w:t>
      </w:r>
      <w:r w:rsidR="00A52EE1">
        <w:rPr>
          <w:rFonts w:ascii="Arial" w:hAnsi="Arial" w:cs="Arial"/>
        </w:rPr>
        <w:t>’s</w:t>
      </w:r>
      <w:r>
        <w:rPr>
          <w:rFonts w:ascii="Arial" w:hAnsi="Arial" w:cs="Arial"/>
        </w:rPr>
        <w:t xml:space="preserve"> never really noticed </w:t>
      </w:r>
      <w:r w:rsidR="00A52EE1">
        <w:rPr>
          <w:rFonts w:ascii="Arial" w:hAnsi="Arial" w:cs="Arial"/>
        </w:rPr>
        <w:t>a</w:t>
      </w:r>
      <w:r>
        <w:rPr>
          <w:rFonts w:ascii="Arial" w:hAnsi="Arial" w:cs="Arial"/>
        </w:rPr>
        <w:t xml:space="preserve"> difference in take-home pay </w:t>
      </w:r>
      <w:r w:rsidR="00A52EE1">
        <w:rPr>
          <w:rFonts w:ascii="Arial" w:hAnsi="Arial" w:cs="Arial"/>
        </w:rPr>
        <w:t>as</w:t>
      </w:r>
      <w:r>
        <w:rPr>
          <w:rFonts w:ascii="Arial" w:hAnsi="Arial" w:cs="Arial"/>
        </w:rPr>
        <w:t xml:space="preserve"> her savings rate </w:t>
      </w:r>
      <w:r w:rsidR="00A52EE1">
        <w:rPr>
          <w:rFonts w:ascii="Arial" w:hAnsi="Arial" w:cs="Arial"/>
        </w:rPr>
        <w:t>rises</w:t>
      </w:r>
      <w:r>
        <w:rPr>
          <w:rFonts w:ascii="Arial" w:hAnsi="Arial" w:cs="Arial"/>
        </w:rPr>
        <w:t xml:space="preserve">. Instead, </w:t>
      </w:r>
      <w:r w:rsidR="008F7E77">
        <w:rPr>
          <w:rFonts w:ascii="Arial" w:hAnsi="Arial" w:cs="Arial"/>
        </w:rPr>
        <w:t>she looks forward to having</w:t>
      </w:r>
      <w:r>
        <w:rPr>
          <w:rFonts w:ascii="Arial" w:hAnsi="Arial" w:cs="Arial"/>
        </w:rPr>
        <w:t xml:space="preserve"> </w:t>
      </w:r>
      <w:r w:rsidRPr="005F1BAC">
        <w:rPr>
          <w:rFonts w:ascii="Arial" w:hAnsi="Arial" w:cs="Arial"/>
          <w:b/>
          <w:color w:val="ED7D31" w:themeColor="accent2"/>
        </w:rPr>
        <w:t>$285,725</w:t>
      </w:r>
      <w:r w:rsidRPr="005F1BAC">
        <w:rPr>
          <w:rFonts w:ascii="Arial" w:hAnsi="Arial" w:cs="Arial"/>
          <w:color w:val="ED7D31" w:themeColor="accent2"/>
        </w:rPr>
        <w:t xml:space="preserve"> </w:t>
      </w:r>
      <w:r>
        <w:rPr>
          <w:rFonts w:ascii="Arial" w:hAnsi="Arial" w:cs="Arial"/>
        </w:rPr>
        <w:t xml:space="preserve">in her retirement fund by age 65. </w:t>
      </w:r>
    </w:p>
    <w:p w:rsidR="00BA25A2" w:rsidRDefault="00BA25A2" w:rsidP="00BA25A2">
      <w:pPr>
        <w:spacing w:after="0" w:line="240" w:lineRule="auto"/>
        <w:ind w:left="-450" w:right="-720"/>
        <w:rPr>
          <w:rFonts w:ascii="Arial" w:hAnsi="Arial" w:cs="Arial"/>
        </w:rPr>
      </w:pPr>
      <w:r>
        <w:rPr>
          <w:rFonts w:ascii="Arial" w:hAnsi="Arial" w:cs="Arial"/>
        </w:rPr>
        <w:t>Think ahead and take action now. To increase your deferral percentage, contact your HR department today.</w:t>
      </w:r>
    </w:p>
    <w:sectPr w:rsidR="00BA25A2" w:rsidSect="009338BC">
      <w:footerReference w:type="default" r:id="rId10"/>
      <w:pgSz w:w="12240" w:h="15840"/>
      <w:pgMar w:top="810" w:right="1440" w:bottom="117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A2" w:rsidRDefault="00BA25A2" w:rsidP="00BA25A2">
      <w:pPr>
        <w:spacing w:after="0" w:line="240" w:lineRule="auto"/>
      </w:pPr>
      <w:r>
        <w:separator/>
      </w:r>
    </w:p>
  </w:endnote>
  <w:endnote w:type="continuationSeparator" w:id="0">
    <w:p w:rsidR="00BA25A2" w:rsidRDefault="00BA25A2" w:rsidP="00BA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A2" w:rsidRDefault="009338BC" w:rsidP="00BA25A2">
    <w:pPr>
      <w:pStyle w:val="Footer"/>
      <w:ind w:left="-450"/>
      <w:rPr>
        <w:rFonts w:ascii="Arial" w:hAnsi="Arial" w:cs="Arial"/>
        <w:sz w:val="16"/>
        <w:szCs w:val="16"/>
      </w:rPr>
    </w:pPr>
    <w:r>
      <w:rPr>
        <w:noProof/>
      </w:rPr>
      <w:drawing>
        <wp:inline distT="0" distB="0" distL="0" distR="0">
          <wp:extent cx="720046" cy="285750"/>
          <wp:effectExtent l="0" t="0" r="4445" b="0"/>
          <wp:docPr id="8" name="Picture 8" descr="Image result for transamerica retirement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america retirement solu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39" cy="315432"/>
                  </a:xfrm>
                  <a:prstGeom prst="rect">
                    <a:avLst/>
                  </a:prstGeom>
                  <a:noFill/>
                  <a:ln>
                    <a:noFill/>
                  </a:ln>
                </pic:spPr>
              </pic:pic>
            </a:graphicData>
          </a:graphic>
        </wp:inline>
      </w:drawing>
    </w:r>
    <w:r w:rsidR="00BA25A2">
      <w:rPr>
        <w:rFonts w:ascii="Arial" w:hAnsi="Arial" w:cs="Arial"/>
        <w:sz w:val="16"/>
        <w:szCs w:val="16"/>
      </w:rPr>
      <w:t xml:space="preserve">This memo was </w:t>
    </w:r>
    <w:r w:rsidR="003424B5">
      <w:rPr>
        <w:rFonts w:ascii="Arial" w:hAnsi="Arial" w:cs="Arial"/>
        <w:sz w:val="16"/>
        <w:szCs w:val="16"/>
      </w:rPr>
      <w:t>contributed</w:t>
    </w:r>
    <w:r w:rsidR="00BA25A2">
      <w:rPr>
        <w:rFonts w:ascii="Arial" w:hAnsi="Arial" w:cs="Arial"/>
        <w:sz w:val="16"/>
        <w:szCs w:val="16"/>
      </w:rPr>
      <w:t xml:space="preserve"> by Transamerica.</w:t>
    </w:r>
  </w:p>
  <w:p w:rsidR="00BA25A2" w:rsidRDefault="00BA25A2" w:rsidP="00BA25A2">
    <w:pPr>
      <w:pStyle w:val="Footer"/>
      <w:ind w:left="-450"/>
      <w:rPr>
        <w:rFonts w:ascii="Arial" w:hAnsi="Arial" w:cs="Arial"/>
        <w:sz w:val="16"/>
        <w:szCs w:val="16"/>
      </w:rPr>
    </w:pPr>
    <w:r>
      <w:rPr>
        <w:rFonts w:ascii="Arial" w:hAnsi="Arial" w:cs="Arial"/>
        <w:sz w:val="16"/>
        <w:szCs w:val="16"/>
      </w:rPr>
      <w:t>This example is hypothetical and does not represent the performance of any fund. Regular investing does not guarantee a profit or protect against a loss in a declining market. Past performance does not guarantee future results. Initial tax savings on contributions and earnings are deferred until distribution. You should evaluate your ability to continue saving in the event of a prolonged market decline, unexpected expenses, or an unforeseeable emergency.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A2" w:rsidRDefault="00BA25A2" w:rsidP="00BA25A2">
      <w:pPr>
        <w:spacing w:after="0" w:line="240" w:lineRule="auto"/>
      </w:pPr>
      <w:r>
        <w:separator/>
      </w:r>
    </w:p>
  </w:footnote>
  <w:footnote w:type="continuationSeparator" w:id="0">
    <w:p w:rsidR="00BA25A2" w:rsidRDefault="00BA25A2" w:rsidP="00BA2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6100"/>
    <w:multiLevelType w:val="hybridMultilevel"/>
    <w:tmpl w:val="F85A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21"/>
    <w:rsid w:val="0016530C"/>
    <w:rsid w:val="003424B5"/>
    <w:rsid w:val="00456B6F"/>
    <w:rsid w:val="0046010C"/>
    <w:rsid w:val="00463407"/>
    <w:rsid w:val="004772D2"/>
    <w:rsid w:val="004A1621"/>
    <w:rsid w:val="004B7CF1"/>
    <w:rsid w:val="004D747B"/>
    <w:rsid w:val="005C78C0"/>
    <w:rsid w:val="005F1BAC"/>
    <w:rsid w:val="00650637"/>
    <w:rsid w:val="00684505"/>
    <w:rsid w:val="007634B6"/>
    <w:rsid w:val="008F7E77"/>
    <w:rsid w:val="009338BC"/>
    <w:rsid w:val="00A52EE1"/>
    <w:rsid w:val="00AC6669"/>
    <w:rsid w:val="00BA25A2"/>
    <w:rsid w:val="00C77FD4"/>
    <w:rsid w:val="00D33EF0"/>
    <w:rsid w:val="00E31CD1"/>
    <w:rsid w:val="00F2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D4"/>
    <w:pPr>
      <w:ind w:left="720"/>
      <w:contextualSpacing/>
    </w:pPr>
  </w:style>
  <w:style w:type="paragraph" w:styleId="BalloonText">
    <w:name w:val="Balloon Text"/>
    <w:basedOn w:val="Normal"/>
    <w:link w:val="BalloonTextChar"/>
    <w:uiPriority w:val="99"/>
    <w:semiHidden/>
    <w:unhideWhenUsed/>
    <w:rsid w:val="00D3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F0"/>
    <w:rPr>
      <w:rFonts w:ascii="Segoe UI" w:hAnsi="Segoe UI" w:cs="Segoe UI"/>
      <w:sz w:val="18"/>
      <w:szCs w:val="18"/>
    </w:rPr>
  </w:style>
  <w:style w:type="paragraph" w:styleId="Header">
    <w:name w:val="header"/>
    <w:basedOn w:val="Normal"/>
    <w:link w:val="HeaderChar"/>
    <w:uiPriority w:val="99"/>
    <w:unhideWhenUsed/>
    <w:rsid w:val="00BA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A2"/>
  </w:style>
  <w:style w:type="paragraph" w:styleId="Footer">
    <w:name w:val="footer"/>
    <w:basedOn w:val="Normal"/>
    <w:link w:val="FooterChar"/>
    <w:uiPriority w:val="99"/>
    <w:unhideWhenUsed/>
    <w:rsid w:val="00BA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D4"/>
    <w:pPr>
      <w:ind w:left="720"/>
      <w:contextualSpacing/>
    </w:pPr>
  </w:style>
  <w:style w:type="paragraph" w:styleId="BalloonText">
    <w:name w:val="Balloon Text"/>
    <w:basedOn w:val="Normal"/>
    <w:link w:val="BalloonTextChar"/>
    <w:uiPriority w:val="99"/>
    <w:semiHidden/>
    <w:unhideWhenUsed/>
    <w:rsid w:val="00D3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F0"/>
    <w:rPr>
      <w:rFonts w:ascii="Segoe UI" w:hAnsi="Segoe UI" w:cs="Segoe UI"/>
      <w:sz w:val="18"/>
      <w:szCs w:val="18"/>
    </w:rPr>
  </w:style>
  <w:style w:type="paragraph" w:styleId="Header">
    <w:name w:val="header"/>
    <w:basedOn w:val="Normal"/>
    <w:link w:val="HeaderChar"/>
    <w:uiPriority w:val="99"/>
    <w:unhideWhenUsed/>
    <w:rsid w:val="00BA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A2"/>
  </w:style>
  <w:style w:type="paragraph" w:styleId="Footer">
    <w:name w:val="footer"/>
    <w:basedOn w:val="Normal"/>
    <w:link w:val="FooterChar"/>
    <w:uiPriority w:val="99"/>
    <w:unhideWhenUsed/>
    <w:rsid w:val="00BA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latin typeface="Arial" panose="020B0604020202020204" pitchFamily="34" charset="0"/>
                <a:cs typeface="Arial" panose="020B0604020202020204" pitchFamily="34" charset="0"/>
              </a:rPr>
              <a:t>1% Annual</a:t>
            </a:r>
            <a:r>
              <a:rPr lang="en-US" sz="900" b="1" baseline="0">
                <a:latin typeface="Arial" panose="020B0604020202020204" pitchFamily="34" charset="0"/>
                <a:cs typeface="Arial" panose="020B0604020202020204" pitchFamily="34" charset="0"/>
              </a:rPr>
              <a:t> Contribution Increase</a:t>
            </a:r>
            <a:endParaRPr lang="en-US" sz="900" b="1">
              <a:latin typeface="Arial" panose="020B0604020202020204" pitchFamily="34" charset="0"/>
              <a:cs typeface="Arial" panose="020B0604020202020204" pitchFamily="3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Minnie</c:v>
                </c:pt>
              </c:strCache>
            </c:strRef>
          </c:tx>
          <c:spPr>
            <a:solidFill>
              <a:schemeClr val="accent1"/>
            </a:solidFill>
            <a:ln>
              <a:noFill/>
            </a:ln>
            <a:effectLst/>
          </c:spPr>
          <c:invertIfNegative val="0"/>
          <c:cat>
            <c:strRef>
              <c:f>Sheet1!$A$2:$A$4</c:f>
              <c:strCache>
                <c:ptCount val="3"/>
                <c:pt idx="0">
                  <c:v>After 10 Years</c:v>
                </c:pt>
                <c:pt idx="1">
                  <c:v>After 20 Years</c:v>
                </c:pt>
                <c:pt idx="2">
                  <c:v>After 30 Years</c:v>
                </c:pt>
              </c:strCache>
            </c:strRef>
          </c:cat>
          <c:val>
            <c:numRef>
              <c:f>Sheet1!$B$2:$B$4</c:f>
              <c:numCache>
                <c:formatCode>"$"#,##0</c:formatCode>
                <c:ptCount val="3"/>
                <c:pt idx="0">
                  <c:v>9227</c:v>
                </c:pt>
                <c:pt idx="1">
                  <c:v>28923</c:v>
                </c:pt>
                <c:pt idx="2">
                  <c:v>68461</c:v>
                </c:pt>
              </c:numCache>
            </c:numRef>
          </c:val>
        </c:ser>
        <c:ser>
          <c:idx val="1"/>
          <c:order val="1"/>
          <c:tx>
            <c:strRef>
              <c:f>Sheet1!$C$1</c:f>
              <c:strCache>
                <c:ptCount val="1"/>
                <c:pt idx="0">
                  <c:v>Maxine</c:v>
                </c:pt>
              </c:strCache>
            </c:strRef>
          </c:tx>
          <c:spPr>
            <a:solidFill>
              <a:schemeClr val="accent2"/>
            </a:solidFill>
            <a:ln>
              <a:noFill/>
            </a:ln>
            <a:effectLst/>
          </c:spPr>
          <c:invertIfNegative val="0"/>
          <c:cat>
            <c:strRef>
              <c:f>Sheet1!$A$2:$A$4</c:f>
              <c:strCache>
                <c:ptCount val="3"/>
                <c:pt idx="0">
                  <c:v>After 10 Years</c:v>
                </c:pt>
                <c:pt idx="1">
                  <c:v>After 20 Years</c:v>
                </c:pt>
                <c:pt idx="2">
                  <c:v>After 30 Years</c:v>
                </c:pt>
              </c:strCache>
            </c:strRef>
          </c:cat>
          <c:val>
            <c:numRef>
              <c:f>Sheet1!$C$2:$C$4</c:f>
              <c:numCache>
                <c:formatCode>"$"#,##0</c:formatCode>
                <c:ptCount val="3"/>
                <c:pt idx="0">
                  <c:v>28491</c:v>
                </c:pt>
                <c:pt idx="1">
                  <c:v>113022</c:v>
                </c:pt>
                <c:pt idx="2">
                  <c:v>285725</c:v>
                </c:pt>
              </c:numCache>
            </c:numRef>
          </c:val>
        </c:ser>
        <c:dLbls>
          <c:showLegendKey val="0"/>
          <c:showVal val="0"/>
          <c:showCatName val="0"/>
          <c:showSerName val="0"/>
          <c:showPercent val="0"/>
          <c:showBubbleSize val="0"/>
        </c:dLbls>
        <c:gapWidth val="219"/>
        <c:overlap val="-27"/>
        <c:axId val="36132352"/>
        <c:axId val="36133888"/>
      </c:barChart>
      <c:catAx>
        <c:axId val="361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133888"/>
        <c:crosses val="autoZero"/>
        <c:auto val="1"/>
        <c:lblAlgn val="ctr"/>
        <c:lblOffset val="100"/>
        <c:noMultiLvlLbl val="0"/>
      </c:catAx>
      <c:valAx>
        <c:axId val="361338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6132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Michelle</dc:creator>
  <cp:lastModifiedBy>Donna Renson</cp:lastModifiedBy>
  <cp:revision>2</cp:revision>
  <cp:lastPrinted>2017-05-24T19:29:00Z</cp:lastPrinted>
  <dcterms:created xsi:type="dcterms:W3CDTF">2017-06-06T20:07:00Z</dcterms:created>
  <dcterms:modified xsi:type="dcterms:W3CDTF">2017-06-06T20:07:00Z</dcterms:modified>
</cp:coreProperties>
</file>